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AA0" w:rsidRDefault="005C0AA0">
      <w:pPr>
        <w:pStyle w:val="newncpi"/>
        <w:jc w:val="center"/>
        <w:rPr>
          <w:sz w:val="4"/>
        </w:rPr>
      </w:pPr>
      <w:bookmarkStart w:id="0" w:name="_GoBack"/>
      <w:bookmarkEnd w:id="0"/>
    </w:p>
    <w:p w:rsidR="005C0AA0" w:rsidRDefault="005C0AA0">
      <w:pPr>
        <w:pStyle w:val="newncpi"/>
        <w:jc w:val="right"/>
      </w:pPr>
    </w:p>
    <w:p w:rsidR="005C0AA0" w:rsidRDefault="00EC573A">
      <w:pPr>
        <w:pStyle w:val="titlep"/>
        <w:spacing w:before="0" w:after="0"/>
      </w:pPr>
      <w:bookmarkStart w:id="1" w:name="Заг_Прил_1_Утв_10"/>
      <w:r>
        <w:t>ОБЩЕСТВЕННОЕ УВЕДОМЛЕНИЕ</w:t>
      </w:r>
      <w:bookmarkEnd w:id="1"/>
    </w:p>
    <w:p w:rsidR="005C0AA0" w:rsidRDefault="005C0AA0">
      <w:pPr>
        <w:pStyle w:val="newncpi"/>
        <w:jc w:val="center"/>
      </w:pPr>
    </w:p>
    <w:tbl>
      <w:tblPr>
        <w:tblW w:w="10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943"/>
      </w:tblGrid>
      <w:tr w:rsidR="005C0AA0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left"/>
            </w:pPr>
            <w:r>
              <w:t>Уведомляем  о  том, что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</w:pPr>
            <w:r>
              <w:t xml:space="preserve">Открытое акционерное общество </w:t>
            </w:r>
          </w:p>
        </w:tc>
      </w:tr>
      <w:tr w:rsidR="005C0AA0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(полное наименование юридического лица,</w:t>
            </w:r>
          </w:p>
        </w:tc>
      </w:tr>
      <w:tr w:rsidR="005C0AA0"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</w:pPr>
            <w:r>
              <w:t>«Могилевский завод лифтового машиностроения»</w:t>
            </w:r>
          </w:p>
        </w:tc>
      </w:tr>
      <w:tr w:rsidR="005C0AA0">
        <w:tc>
          <w:tcPr>
            <w:tcW w:w="10637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фамилия, собственное имя, отчество (если таковое имеется)</w:t>
            </w:r>
          </w:p>
        </w:tc>
      </w:tr>
      <w:tr w:rsidR="005C0AA0"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</w:pPr>
          </w:p>
        </w:tc>
      </w:tr>
      <w:tr w:rsidR="005C0AA0">
        <w:tc>
          <w:tcPr>
            <w:tcW w:w="10637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индивидуального </w:t>
            </w:r>
            <w:r>
              <w:rPr>
                <w:i/>
                <w:sz w:val="20"/>
              </w:rPr>
              <w:t>предпринимателя, осуществляющих (планирующих</w:t>
            </w:r>
          </w:p>
        </w:tc>
      </w:tr>
      <w:tr w:rsidR="005C0AA0"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</w:pPr>
          </w:p>
        </w:tc>
      </w:tr>
      <w:tr w:rsidR="005C0AA0">
        <w:tc>
          <w:tcPr>
            <w:tcW w:w="10637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осуществлять) деятельность, связанную с эксплуатацией объектов, оказывающих</w:t>
            </w:r>
          </w:p>
        </w:tc>
      </w:tr>
      <w:tr w:rsidR="005C0AA0"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</w:pPr>
            <w:r>
              <w:t>212798, г. Могилев, пр. Мира, 42</w:t>
            </w:r>
          </w:p>
        </w:tc>
      </w:tr>
      <w:tr w:rsidR="005C0AA0">
        <w:tc>
          <w:tcPr>
            <w:tcW w:w="10637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комплексное воздействие на окружающую среду, почтовый и электронный адреса,</w:t>
            </w:r>
          </w:p>
        </w:tc>
      </w:tr>
      <w:tr w:rsidR="005C0AA0"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</w:pPr>
            <w:r>
              <w:rPr>
                <w:lang w:val="en-US"/>
              </w:rPr>
              <w:t>E-mail</w:t>
            </w:r>
            <w:r>
              <w:t xml:space="preserve">: </w:t>
            </w:r>
            <w:hyperlink r:id="rId5" w:history="1">
              <w:r>
                <w:rPr>
                  <w:rStyle w:val="a8"/>
                  <w:lang w:val="en-US"/>
                </w:rPr>
                <w:t>liftmach@liftmach.by</w:t>
              </w:r>
              <w:r>
                <w:rPr>
                  <w:rStyle w:val="a8"/>
                </w:rPr>
                <w:t>,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тел./факс +375 222 74 09 83, 74 09 71</w:t>
            </w:r>
            <w:r>
              <w:rPr>
                <w:szCs w:val="24"/>
              </w:rPr>
              <w:t xml:space="preserve"> </w:t>
            </w:r>
          </w:p>
        </w:tc>
      </w:tr>
      <w:tr w:rsidR="005C0AA0">
        <w:tc>
          <w:tcPr>
            <w:tcW w:w="10637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номер телефона, факса)</w:t>
            </w:r>
          </w:p>
        </w:tc>
      </w:tr>
      <w:tr w:rsidR="005C0AA0"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left"/>
            </w:pPr>
            <w:r>
              <w:t>подал заявление в</w:t>
            </w: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</w:pPr>
            <w:r>
              <w:rPr>
                <w:spacing w:val="-10"/>
              </w:rPr>
              <w:t>Могилевский областной комитет природных ресурсов и охраны окружающей среды</w:t>
            </w:r>
          </w:p>
        </w:tc>
      </w:tr>
      <w:tr w:rsidR="005C0AA0"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 xml:space="preserve">(название органа выдачи </w:t>
            </w:r>
            <w:r>
              <w:rPr>
                <w:i/>
              </w:rPr>
              <w:t>комплексного природоохранного разрешения)</w:t>
            </w:r>
          </w:p>
        </w:tc>
      </w:tr>
    </w:tbl>
    <w:p w:rsidR="005C0AA0" w:rsidRDefault="00EC573A">
      <w:pPr>
        <w:pStyle w:val="newncpi"/>
        <w:ind w:firstLine="0"/>
        <w:jc w:val="left"/>
      </w:pPr>
      <w:r>
        <w:t>на     получение     комплексного     природоохранного     разрешения     на     эксплуатацию     объекта</w:t>
      </w: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619"/>
        <w:gridCol w:w="276"/>
      </w:tblGrid>
      <w:tr w:rsidR="005C0AA0">
        <w:tc>
          <w:tcPr>
            <w:tcW w:w="10596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rPr>
                <w:bCs/>
              </w:rPr>
            </w:pPr>
            <w:r>
              <w:rPr>
                <w:rFonts w:cs="Courier New"/>
                <w:bCs/>
                <w:spacing w:val="-4"/>
              </w:rPr>
              <w:t>литья черных металлов (производство чугунного литья) с</w:t>
            </w:r>
            <w:r>
              <w:rPr>
                <w:rFonts w:cs="Courier New"/>
                <w:bCs/>
                <w:spacing w:val="-4"/>
              </w:rPr>
              <w:t xml:space="preserve"> </w:t>
            </w:r>
            <w:r>
              <w:rPr>
                <w:rFonts w:cs="Courier New"/>
                <w:bCs/>
                <w:spacing w:val="-4"/>
              </w:rPr>
              <w:t>производственной мощностью 20 тонн</w:t>
            </w:r>
          </w:p>
        </w:tc>
      </w:tr>
      <w:tr w:rsidR="005C0AA0">
        <w:tc>
          <w:tcPr>
            <w:tcW w:w="10596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(дата ввода </w:t>
            </w:r>
            <w:r>
              <w:rPr>
                <w:bCs/>
                <w:i/>
                <w:sz w:val="20"/>
              </w:rPr>
              <w:t>в эксплуатацию,</w:t>
            </w:r>
          </w:p>
        </w:tc>
      </w:tr>
      <w:tr w:rsidR="005C0AA0">
        <w:tc>
          <w:tcPr>
            <w:tcW w:w="10596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ConsPlusCell"/>
              <w:jc w:val="both"/>
              <w:rPr>
                <w:bCs/>
              </w:rPr>
            </w:pPr>
            <w:r>
              <w:rPr>
                <w:rFonts w:cs="Courier New"/>
                <w:bCs/>
              </w:rPr>
              <w:t xml:space="preserve"> в сутки и более, в составе ОАО «</w:t>
            </w:r>
            <w:proofErr w:type="spellStart"/>
            <w:r>
              <w:rPr>
                <w:rFonts w:cs="Courier New"/>
                <w:bCs/>
              </w:rPr>
              <w:t>Могилевлифтмаш</w:t>
            </w:r>
            <w:proofErr w:type="spellEnd"/>
            <w:r>
              <w:rPr>
                <w:rFonts w:cs="Courier New"/>
                <w:bCs/>
              </w:rPr>
              <w:t>», специализирующегося на выпуске грузовых и пассажирских лифтов. Производственные мощности по производству чугунного литья  введены в эксплуатацию в 1977 году.</w:t>
            </w:r>
          </w:p>
        </w:tc>
      </w:tr>
      <w:tr w:rsidR="005C0AA0">
        <w:tc>
          <w:tcPr>
            <w:tcW w:w="10596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дата последней реконструкции, </w:t>
            </w:r>
            <w:r>
              <w:rPr>
                <w:bCs/>
                <w:i/>
                <w:sz w:val="20"/>
              </w:rPr>
              <w:t>производственная специализация, выходная продукция,</w:t>
            </w:r>
          </w:p>
        </w:tc>
      </w:tr>
      <w:tr w:rsidR="005C0AA0">
        <w:tc>
          <w:tcPr>
            <w:tcW w:w="1032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ConsPlusCell"/>
              <w:rPr>
                <w:bCs/>
              </w:rPr>
            </w:pPr>
            <w:r>
              <w:rPr>
                <w:bCs/>
              </w:rPr>
              <w:t>Проектная мощность объекта - 1</w:t>
            </w:r>
            <w:r>
              <w:rPr>
                <w:bCs/>
              </w:rPr>
              <w:t>2</w:t>
            </w:r>
            <w:r>
              <w:rPr>
                <w:bCs/>
              </w:rPr>
              <w:t xml:space="preserve"> тыс. тонн годного чугунного литья в год</w:t>
            </w:r>
            <w:r>
              <w:rPr>
                <w:bCs/>
              </w:rPr>
              <w:t>,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left"/>
              <w:rPr>
                <w:bCs/>
              </w:rPr>
            </w:pPr>
          </w:p>
        </w:tc>
      </w:tr>
      <w:tr w:rsidR="005C0AA0">
        <w:tc>
          <w:tcPr>
            <w:tcW w:w="1032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установленная мощность, характер воздействия на компоненты природной среды)</w:t>
            </w:r>
          </w:p>
          <w:p w:rsidR="005C0AA0" w:rsidRDefault="00EC573A">
            <w:pPr>
              <w:jc w:val="both"/>
              <w:rPr>
                <w:bCs/>
                <w:i/>
                <w:sz w:val="20"/>
              </w:rPr>
            </w:pPr>
            <w:r>
              <w:rPr>
                <w:bCs/>
              </w:rPr>
              <w:t>фактически достигнутая -</w:t>
            </w:r>
            <w:r>
              <w:rPr>
                <w:bCs/>
              </w:rPr>
              <w:t xml:space="preserve"> 10,2 </w:t>
            </w:r>
            <w:proofErr w:type="spellStart"/>
            <w:proofErr w:type="gramStart"/>
            <w:r>
              <w:rPr>
                <w:bCs/>
              </w:rPr>
              <w:t>тыс.тонн</w:t>
            </w:r>
            <w:proofErr w:type="spellEnd"/>
            <w:proofErr w:type="gramEnd"/>
            <w:r>
              <w:rPr>
                <w:bCs/>
              </w:rPr>
              <w:t xml:space="preserve"> (по итогам 20</w:t>
            </w:r>
            <w:r>
              <w:rPr>
                <w:bCs/>
              </w:rPr>
              <w:t>22</w:t>
            </w:r>
            <w:r>
              <w:rPr>
                <w:bCs/>
              </w:rPr>
              <w:t xml:space="preserve"> г.).</w:t>
            </w:r>
            <w:r>
              <w:rPr>
                <w:bCs/>
              </w:rPr>
              <w:t xml:space="preserve"> </w:t>
            </w:r>
            <w:r>
              <w:rPr>
                <w:rFonts w:cs="Courier New"/>
                <w:bCs/>
              </w:rPr>
              <w:t>Воздействие на окружающую среду в процессе эксплуатации объекта заключается в выбросах загрязняющих веществ в атмосферный воздух, захоронении (хранении) отходов производства, потреблении водных ресурсов и отведении сточных вод</w:t>
            </w:r>
            <w:r>
              <w:rPr>
                <w:rFonts w:cs="Courier New"/>
                <w:bCs/>
              </w:rPr>
              <w:t>,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5C0AA0"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left"/>
              <w:rPr>
                <w:bCs/>
              </w:rPr>
            </w:pPr>
            <w:r>
              <w:rPr>
                <w:bCs/>
              </w:rPr>
              <w:t>находящегося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ConsPlusNonformat"/>
              <w:jc w:val="center"/>
              <w:rPr>
                <w:bCs/>
                <w:sz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/>
                <w:bCs/>
                <w:sz w:val="24"/>
                <w:szCs w:val="24"/>
              </w:rPr>
              <w:t>Могилев, проезд Славгородский, 41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left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5C0AA0"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(место нахождения эксплуатируемого </w:t>
            </w:r>
            <w:proofErr w:type="spellStart"/>
            <w:r>
              <w:rPr>
                <w:bCs/>
                <w:i/>
                <w:sz w:val="20"/>
              </w:rPr>
              <w:t>природопользователем</w:t>
            </w:r>
            <w:proofErr w:type="spellEnd"/>
            <w:r>
              <w:rPr>
                <w:bCs/>
                <w:i/>
                <w:sz w:val="20"/>
              </w:rPr>
              <w:t xml:space="preserve"> объекта)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</w:p>
        </w:tc>
      </w:tr>
    </w:tbl>
    <w:p w:rsidR="005C0AA0" w:rsidRDefault="00EC573A">
      <w:pPr>
        <w:pStyle w:val="newncpi"/>
        <w:ind w:firstLine="0"/>
        <w:jc w:val="left"/>
        <w:rPr>
          <w:bCs/>
        </w:rPr>
      </w:pPr>
      <w:r>
        <w:rPr>
          <w:bCs/>
        </w:rPr>
        <w:t>В    соответствии    с    заявлением    на    получение    комплексного   природоохранного   разрешения</w:t>
      </w:r>
    </w:p>
    <w:tbl>
      <w:tblPr>
        <w:tblW w:w="10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425"/>
        <w:gridCol w:w="1960"/>
      </w:tblGrid>
      <w:tr w:rsidR="005C0AA0">
        <w:tc>
          <w:tcPr>
            <w:tcW w:w="1060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ConsPlusNonformat"/>
              <w:jc w:val="center"/>
              <w:rPr>
                <w:bCs/>
                <w:sz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Открытое акционерное общество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«Могилевский </w:t>
            </w:r>
            <w:r>
              <w:rPr>
                <w:rFonts w:ascii="Times New Roman"/>
                <w:bCs/>
                <w:sz w:val="24"/>
                <w:szCs w:val="24"/>
              </w:rPr>
              <w:t>завод лифтового машиностроения»</w:t>
            </w:r>
          </w:p>
        </w:tc>
      </w:tr>
      <w:tr w:rsidR="005C0AA0">
        <w:tc>
          <w:tcPr>
            <w:tcW w:w="10607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(наименование природопользователя)</w:t>
            </w:r>
          </w:p>
        </w:tc>
      </w:tr>
      <w:tr w:rsidR="005C0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222" w:type="dxa"/>
            <w:tcBorders>
              <w:tl2br w:val="nil"/>
              <w:tr2bl w:val="nil"/>
            </w:tcBorders>
          </w:tcPr>
          <w:p w:rsidR="005C0AA0" w:rsidRDefault="00EC573A">
            <w:pPr>
              <w:pStyle w:val="newncpi0"/>
              <w:jc w:val="left"/>
            </w:pPr>
            <w:r>
              <w:t>планирует осуществлять деятельность на основании данного разрешения до 20</w:t>
            </w:r>
          </w:p>
        </w:tc>
        <w:tc>
          <w:tcPr>
            <w:tcW w:w="425" w:type="dxa"/>
            <w:tcBorders>
              <w:bottom w:val="single" w:sz="4" w:space="0" w:color="auto"/>
              <w:tl2br w:val="nil"/>
              <w:tr2bl w:val="nil"/>
            </w:tcBorders>
          </w:tcPr>
          <w:p w:rsidR="005C0AA0" w:rsidRDefault="00EC573A">
            <w:pPr>
              <w:pStyle w:val="newncpi0"/>
            </w:pPr>
            <w:r>
              <w:t>33</w:t>
            </w:r>
          </w:p>
        </w:tc>
        <w:tc>
          <w:tcPr>
            <w:tcW w:w="1960" w:type="dxa"/>
            <w:tcBorders>
              <w:tl2br w:val="nil"/>
              <w:tr2bl w:val="nil"/>
            </w:tcBorders>
          </w:tcPr>
          <w:p w:rsidR="005C0AA0" w:rsidRDefault="00EC573A">
            <w:pPr>
              <w:pStyle w:val="newncpi0"/>
            </w:pPr>
            <w:r>
              <w:t>года.</w:t>
            </w:r>
          </w:p>
        </w:tc>
      </w:tr>
    </w:tbl>
    <w:p w:rsidR="005C0AA0" w:rsidRDefault="00EC573A">
      <w:pPr>
        <w:pStyle w:val="newncpi"/>
      </w:pPr>
      <w:r>
        <w:lastRenderedPageBreak/>
        <w:t xml:space="preserve">Основные          мероприятия          по          обеспечению           экологической         </w:t>
      </w:r>
      <w:r>
        <w:t>безопасности:</w:t>
      </w:r>
    </w:p>
    <w:tbl>
      <w:tblPr>
        <w:tblW w:w="10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08"/>
        <w:gridCol w:w="317"/>
      </w:tblGrid>
      <w:tr w:rsidR="005C0AA0"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ConsPlusNonformat"/>
              <w:jc w:val="both"/>
              <w:rPr>
                <w:bCs/>
                <w:sz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 xml:space="preserve">Для снижения вредного воздействия на окружающую среду на объекте </w:t>
            </w:r>
            <w:r>
              <w:rPr>
                <w:rFonts w:ascii="Times New Roman" w:cs="Arial"/>
                <w:bCs/>
                <w:sz w:val="24"/>
                <w:szCs w:val="24"/>
              </w:rPr>
              <w:t xml:space="preserve"> ведется планомерная</w:t>
            </w:r>
          </w:p>
        </w:tc>
      </w:tr>
      <w:tr w:rsidR="005C0AA0">
        <w:tc>
          <w:tcPr>
            <w:tcW w:w="10637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(принятые и планируемые меры и мероприятия по охране окружающей среды,</w:t>
            </w:r>
          </w:p>
        </w:tc>
      </w:tr>
      <w:tr w:rsidR="005C0AA0"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tabs>
                <w:tab w:val="left" w:pos="1080"/>
              </w:tabs>
              <w:ind w:right="140"/>
              <w:rPr>
                <w:bCs/>
              </w:rPr>
            </w:pPr>
            <w:r>
              <w:rPr>
                <w:rFonts w:cs="Arial"/>
                <w:bCs/>
              </w:rPr>
              <w:t>работа по замене физически изношенного и морально устаревшего оборудования,</w:t>
            </w:r>
          </w:p>
        </w:tc>
      </w:tr>
      <w:tr w:rsidR="005C0AA0">
        <w:tc>
          <w:tcPr>
            <w:tcW w:w="10637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рациональному использованию природных ресурсов, сокращению образования</w:t>
            </w:r>
          </w:p>
        </w:tc>
      </w:tr>
      <w:tr w:rsidR="005C0AA0">
        <w:tc>
          <w:tcPr>
            <w:tcW w:w="1032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ConsPlusNonformat"/>
              <w:rPr>
                <w:bCs/>
                <w:sz w:val="24"/>
              </w:rPr>
            </w:pPr>
            <w:r>
              <w:rPr>
                <w:rFonts w:ascii="Times New Roman" w:cs="Arial"/>
                <w:bCs/>
                <w:sz w:val="24"/>
                <w:szCs w:val="24"/>
              </w:rPr>
              <w:t>внедрению ресурсосберегающих, малоотходных  и экологически безопасных технологий,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left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5C0AA0">
        <w:tc>
          <w:tcPr>
            <w:tcW w:w="1032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отходов производства)</w:t>
            </w:r>
          </w:p>
          <w:p w:rsidR="005C0AA0" w:rsidRDefault="00EC573A">
            <w:pPr>
              <w:pStyle w:val="ConsPlusNonformat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 w:cs="Arial"/>
                <w:bCs/>
                <w:sz w:val="24"/>
                <w:szCs w:val="24"/>
              </w:rPr>
              <w:t>рациональному использованию водных ресурсов, снижению выбросов (</w:t>
            </w:r>
            <w:proofErr w:type="gramStart"/>
            <w:r>
              <w:rPr>
                <w:rFonts w:ascii="Times New Roman" w:cs="Arial"/>
                <w:bCs/>
                <w:sz w:val="24"/>
                <w:szCs w:val="24"/>
              </w:rPr>
              <w:t>сбросов)  в</w:t>
            </w:r>
            <w:proofErr w:type="gramEnd"/>
            <w:r w:rsidRPr="00EC573A">
              <w:rPr>
                <w:rFonts w:ascii="Times New Roman" w:cs="Arial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Arial"/>
                <w:bCs/>
                <w:sz w:val="24"/>
                <w:szCs w:val="24"/>
              </w:rPr>
              <w:t>окружающую среду, обеспечению экологической безопасности</w:t>
            </w:r>
            <w:r>
              <w:rPr>
                <w:bCs/>
              </w:rPr>
              <w:t xml:space="preserve"> </w:t>
            </w:r>
            <w:r>
              <w:rPr>
                <w:rFonts w:ascii="Times New Roman"/>
                <w:bCs/>
                <w:sz w:val="24"/>
                <w:szCs w:val="24"/>
              </w:rPr>
              <w:t>при обращении с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опасными веществами и отходами производства. Мероприятия по охране окружающей среды включаются в текущие и перспективные планы развития </w:t>
            </w:r>
            <w:r>
              <w:rPr>
                <w:rFonts w:ascii="Times New Roman"/>
                <w:bCs/>
                <w:sz w:val="24"/>
                <w:szCs w:val="24"/>
              </w:rPr>
              <w:t>Общества</w:t>
            </w:r>
            <w:r>
              <w:rPr>
                <w:rFonts w:ascii="Times New Roman"/>
                <w:bCs/>
                <w:sz w:val="24"/>
                <w:szCs w:val="24"/>
              </w:rPr>
              <w:t>. На объекте в соответствии с требовани</w:t>
            </w:r>
            <w:r>
              <w:rPr>
                <w:rFonts w:ascii="Times New Roman"/>
                <w:bCs/>
                <w:sz w:val="24"/>
                <w:szCs w:val="24"/>
              </w:rPr>
              <w:t>ями природоохранного законодательства осуществляется производственны</w:t>
            </w:r>
            <w:r>
              <w:rPr>
                <w:rFonts w:ascii="Times New Roman"/>
                <w:bCs/>
                <w:sz w:val="24"/>
                <w:szCs w:val="24"/>
              </w:rPr>
              <w:t>е наблюдения в области охраны окружающей среды, рационального использования природных ресурсов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, включая </w:t>
            </w:r>
            <w:r>
              <w:rPr>
                <w:rFonts w:ascii="Times New Roman"/>
                <w:bCs/>
                <w:sz w:val="24"/>
                <w:szCs w:val="24"/>
              </w:rPr>
              <w:t>отбор проб и проведение измерений в области охраны окружающей среды</w:t>
            </w:r>
            <w:r>
              <w:rPr>
                <w:rFonts w:ascii="Times New Roman"/>
                <w:bCs/>
                <w:sz w:val="24"/>
                <w:szCs w:val="24"/>
              </w:rPr>
              <w:t>, внедрена и функ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ционирует система </w:t>
            </w:r>
            <w:r>
              <w:rPr>
                <w:rFonts w:ascii="Times New Roman"/>
                <w:bCs/>
                <w:sz w:val="24"/>
                <w:szCs w:val="24"/>
              </w:rPr>
              <w:t>менеджмента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окружающей сред</w:t>
            </w:r>
            <w:r>
              <w:rPr>
                <w:rFonts w:asci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, сертифицированная на соответствие требованиям СТБ </w:t>
            </w:r>
            <w:r>
              <w:rPr>
                <w:rFonts w:ascii="Times New Roman"/>
                <w:bCs/>
                <w:sz w:val="24"/>
                <w:szCs w:val="24"/>
                <w:lang w:val="en-US"/>
              </w:rPr>
              <w:t>ISO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14001-20</w:t>
            </w:r>
            <w:r w:rsidRPr="00EC573A">
              <w:rPr>
                <w:rFonts w:asci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/>
                <w:bCs/>
                <w:sz w:val="24"/>
                <w:szCs w:val="24"/>
              </w:rPr>
              <w:t>.</w:t>
            </w:r>
          </w:p>
          <w:p w:rsidR="005C0AA0" w:rsidRDefault="005C0AA0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  <w:rPr>
                <w:bCs/>
                <w:i/>
                <w:sz w:val="20"/>
              </w:rPr>
            </w:pPr>
          </w:p>
        </w:tc>
      </w:tr>
      <w:tr w:rsidR="005C0AA0"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left"/>
            </w:pPr>
            <w:r>
              <w:t>Предложения и замечания по заявлению на получение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</w:pPr>
            <w:r>
              <w:rPr>
                <w:bCs/>
                <w:szCs w:val="24"/>
              </w:rPr>
              <w:t>Открытое акционерное общество</w:t>
            </w:r>
          </w:p>
        </w:tc>
      </w:tr>
      <w:tr w:rsidR="005C0AA0"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природопользователя)</w:t>
            </w:r>
          </w:p>
        </w:tc>
      </w:tr>
      <w:tr w:rsidR="005C0AA0"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</w:pPr>
            <w:r>
              <w:t xml:space="preserve">«Могилевский завод </w:t>
            </w:r>
            <w:r>
              <w:t>лифтового машиностроения»</w:t>
            </w:r>
          </w:p>
        </w:tc>
      </w:tr>
    </w:tbl>
    <w:p w:rsidR="005C0AA0" w:rsidRDefault="00EC573A">
      <w:pPr>
        <w:pStyle w:val="newncpi"/>
        <w:ind w:firstLine="0"/>
      </w:pPr>
      <w:r>
        <w:t xml:space="preserve">комплексного </w:t>
      </w:r>
      <w:r>
        <w:rPr>
          <w:sz w:val="23"/>
        </w:rPr>
        <w:t>природоохранного</w:t>
      </w:r>
      <w:r>
        <w:t xml:space="preserve"> разрешения представляются в электронной форме в территориальный орган </w:t>
      </w:r>
      <w:r>
        <w:rPr>
          <w:sz w:val="23"/>
        </w:rPr>
        <w:t>Министерства</w:t>
      </w:r>
      <w:r>
        <w:t xml:space="preserve"> природных ресурсов и </w:t>
      </w:r>
      <w:r>
        <w:rPr>
          <w:sz w:val="23"/>
        </w:rPr>
        <w:t>охраны</w:t>
      </w:r>
      <w:r>
        <w:t xml:space="preserve"> окружающей среды по адресу:</w:t>
      </w:r>
    </w:p>
    <w:tbl>
      <w:tblPr>
        <w:tblW w:w="10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  <w:gridCol w:w="317"/>
      </w:tblGrid>
      <w:tr w:rsidR="005C0AA0" w:rsidRPr="00EC573A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Могилевский областной комитет природных ресурсов и охраны окружающей среды, </w:t>
            </w:r>
          </w:p>
          <w:p w:rsidR="005C0AA0" w:rsidRDefault="00EC573A">
            <w:pPr>
              <w:pStyle w:val="newncpi"/>
              <w:ind w:firstLine="0"/>
              <w:jc w:val="center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  <w:lang w:val="en-US"/>
              </w:rPr>
              <w:t>e</w:t>
            </w:r>
            <w:r>
              <w:rPr>
                <w:bCs/>
                <w:szCs w:val="24"/>
                <w:lang w:val="de-DE"/>
              </w:rPr>
              <w:noBreakHyphen/>
              <w:t xml:space="preserve">mail: </w:t>
            </w:r>
            <w:r w:rsidRPr="00EC573A">
              <w:rPr>
                <w:bCs/>
                <w:szCs w:val="24"/>
                <w:lang w:val="en-US"/>
              </w:rPr>
              <w:t>ok_proos@mogilevpriroda.gov.by</w:t>
            </w:r>
            <w:r w:rsidRPr="00EC573A">
              <w:rPr>
                <w:bCs/>
                <w:szCs w:val="24"/>
                <w:lang w:val="en-US"/>
              </w:rPr>
              <w:t>,</w:t>
            </w:r>
            <w:r w:rsidRPr="00EC573A">
              <w:rPr>
                <w:b/>
                <w:szCs w:val="24"/>
                <w:lang w:val="en-US"/>
              </w:rPr>
              <w:t xml:space="preserve"> </w:t>
            </w:r>
          </w:p>
        </w:tc>
      </w:tr>
      <w:tr w:rsidR="005C0AA0">
        <w:tc>
          <w:tcPr>
            <w:tcW w:w="10637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(наименование, электронный адрес, почтовый адрес, номер факса)</w:t>
            </w:r>
          </w:p>
        </w:tc>
      </w:tr>
      <w:tr w:rsidR="005C0AA0"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C0AA0" w:rsidRDefault="00EC573A">
            <w:pPr>
              <w:pStyle w:val="ConsPlusNonformat"/>
              <w:jc w:val="center"/>
              <w:rPr>
                <w:sz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212026, г. Могилев, ул. Орловского, д. 24-Б, факс</w:t>
            </w:r>
            <w:r>
              <w:rPr>
                <w:rFonts w:ascii="Times New Roman"/>
                <w:bCs/>
                <w:sz w:val="24"/>
                <w:szCs w:val="24"/>
                <w:lang w:val="en-US"/>
              </w:rPr>
              <w:t xml:space="preserve"> +375 222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Cs/>
                <w:sz w:val="24"/>
                <w:szCs w:val="24"/>
                <w:lang w:val="en-US"/>
              </w:rPr>
              <w:t>64-79-01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5C0AA0" w:rsidRDefault="005C0AA0">
      <w:pPr>
        <w:pStyle w:val="newncpi"/>
        <w:ind w:firstLine="0"/>
        <w:jc w:val="center"/>
      </w:pPr>
    </w:p>
    <w:p w:rsidR="005C0AA0" w:rsidRDefault="00EC573A">
      <w:pPr>
        <w:pStyle w:val="newncpi"/>
        <w:ind w:firstLine="0"/>
      </w:pPr>
      <w:r>
        <w:t>Срок    проведения     общественного     обсуждения     заявления      на      получение      комплексного</w:t>
      </w:r>
    </w:p>
    <w:tbl>
      <w:tblPr>
        <w:tblW w:w="10704" w:type="dxa"/>
        <w:tblLayout w:type="fixed"/>
        <w:tblLook w:val="04A0" w:firstRow="1" w:lastRow="0" w:firstColumn="1" w:lastColumn="0" w:noHBand="0" w:noVBand="1"/>
      </w:tblPr>
      <w:tblGrid>
        <w:gridCol w:w="3785"/>
        <w:gridCol w:w="2962"/>
        <w:gridCol w:w="465"/>
        <w:gridCol w:w="3215"/>
        <w:gridCol w:w="277"/>
      </w:tblGrid>
      <w:tr w:rsidR="005C0AA0">
        <w:tc>
          <w:tcPr>
            <w:tcW w:w="3785" w:type="dxa"/>
            <w:tcBorders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</w:pPr>
            <w:r>
              <w:t>природоохранного разрешения – с</w:t>
            </w:r>
          </w:p>
        </w:tc>
        <w:tc>
          <w:tcPr>
            <w:tcW w:w="2962" w:type="dxa"/>
            <w:tcBorders>
              <w:bottom w:val="single" w:sz="4" w:space="0" w:color="auto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</w:pPr>
          </w:p>
        </w:tc>
        <w:tc>
          <w:tcPr>
            <w:tcW w:w="465" w:type="dxa"/>
            <w:tcBorders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center"/>
            </w:pPr>
            <w:r>
              <w:t>по</w:t>
            </w:r>
          </w:p>
        </w:tc>
        <w:tc>
          <w:tcPr>
            <w:tcW w:w="3215" w:type="dxa"/>
            <w:tcBorders>
              <w:bottom w:val="single" w:sz="4" w:space="0" w:color="auto"/>
              <w:tl2br w:val="nil"/>
              <w:tr2bl w:val="nil"/>
            </w:tcBorders>
          </w:tcPr>
          <w:p w:rsidR="005C0AA0" w:rsidRDefault="005C0AA0">
            <w:pPr>
              <w:pStyle w:val="newncpi"/>
              <w:ind w:firstLine="0"/>
              <w:jc w:val="center"/>
            </w:pPr>
          </w:p>
        </w:tc>
        <w:tc>
          <w:tcPr>
            <w:tcW w:w="277" w:type="dxa"/>
            <w:tcBorders>
              <w:tl2br w:val="nil"/>
              <w:tr2bl w:val="nil"/>
            </w:tcBorders>
          </w:tcPr>
          <w:p w:rsidR="005C0AA0" w:rsidRDefault="00EC573A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5C0AA0" w:rsidRDefault="005C0AA0">
      <w:pPr>
        <w:pStyle w:val="newncpi"/>
        <w:ind w:firstLine="0"/>
      </w:pPr>
    </w:p>
    <w:sectPr w:rsidR="005C0AA0">
      <w:pgSz w:w="11906" w:h="16838"/>
      <w:pgMar w:top="851" w:right="567" w:bottom="567" w:left="851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C0AA0"/>
    <w:rsid w:val="00EC573A"/>
    <w:rsid w:val="06D72C19"/>
    <w:rsid w:val="263E3E92"/>
    <w:rsid w:val="2E6C24CD"/>
    <w:rsid w:val="329D7FD9"/>
    <w:rsid w:val="389D0F24"/>
    <w:rsid w:val="421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13659A-74D5-4867-87AE-98C70185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0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pPr>
      <w:spacing w:line="240" w:lineRule="exact"/>
      <w:jc w:val="center"/>
    </w:pPr>
    <w:rPr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Pr>
      <w:rFonts w:ascii="Times New Roman" w:hint="default"/>
      <w:color w:val="154C94"/>
      <w:sz w:val="24"/>
      <w:u w:val="single"/>
    </w:rPr>
  </w:style>
  <w:style w:type="paragraph" w:customStyle="1" w:styleId="titleu">
    <w:name w:val="titleu"/>
    <w:basedOn w:val="a"/>
    <w:uiPriority w:val="99"/>
    <w:unhideWhenUsed/>
    <w:pPr>
      <w:spacing w:before="240" w:after="240"/>
    </w:pPr>
    <w:rPr>
      <w:b/>
    </w:rPr>
  </w:style>
  <w:style w:type="paragraph" w:customStyle="1" w:styleId="point">
    <w:name w:val="point"/>
    <w:basedOn w:val="a"/>
    <w:unhideWhenUsed/>
    <w:pPr>
      <w:ind w:firstLine="567"/>
      <w:jc w:val="both"/>
    </w:pPr>
  </w:style>
  <w:style w:type="paragraph" w:customStyle="1" w:styleId="underpoint">
    <w:name w:val="underpoint"/>
    <w:basedOn w:val="a"/>
    <w:unhideWhenUsed/>
    <w:pPr>
      <w:ind w:firstLine="567"/>
      <w:jc w:val="both"/>
    </w:pPr>
  </w:style>
  <w:style w:type="paragraph" w:customStyle="1" w:styleId="table10">
    <w:name w:val="table10"/>
    <w:basedOn w:val="a"/>
    <w:unhideWhenUsed/>
    <w:rPr>
      <w:sz w:val="20"/>
    </w:rPr>
  </w:style>
  <w:style w:type="paragraph" w:customStyle="1" w:styleId="cap1">
    <w:name w:val="cap1"/>
    <w:basedOn w:val="a"/>
    <w:uiPriority w:val="99"/>
    <w:unhideWhenUsed/>
    <w:rPr>
      <w:sz w:val="22"/>
    </w:rPr>
  </w:style>
  <w:style w:type="paragraph" w:customStyle="1" w:styleId="capu1">
    <w:name w:val="capu1"/>
    <w:basedOn w:val="a"/>
    <w:uiPriority w:val="99"/>
    <w:unhideWhenUsed/>
    <w:pPr>
      <w:spacing w:after="120"/>
    </w:pPr>
    <w:rPr>
      <w:sz w:val="22"/>
    </w:rPr>
  </w:style>
  <w:style w:type="paragraph" w:customStyle="1" w:styleId="newncpi">
    <w:name w:val="newncpi"/>
    <w:basedOn w:val="a"/>
    <w:unhideWhenUsed/>
    <w:pPr>
      <w:ind w:firstLine="567"/>
      <w:jc w:val="both"/>
    </w:pPr>
  </w:style>
  <w:style w:type="paragraph" w:customStyle="1" w:styleId="newncpi0">
    <w:name w:val="newncpi0"/>
    <w:basedOn w:val="a"/>
    <w:unhideWhenUsed/>
    <w:pPr>
      <w:jc w:val="both"/>
    </w:pPr>
  </w:style>
  <w:style w:type="paragraph" w:customStyle="1" w:styleId="undline">
    <w:name w:val="undline"/>
    <w:basedOn w:val="a"/>
    <w:unhideWhenUsed/>
    <w:pPr>
      <w:jc w:val="both"/>
    </w:pPr>
    <w:rPr>
      <w:sz w:val="20"/>
    </w:rPr>
  </w:style>
  <w:style w:type="paragraph" w:customStyle="1" w:styleId="begform">
    <w:name w:val="begform"/>
    <w:basedOn w:val="a"/>
    <w:uiPriority w:val="99"/>
    <w:unhideWhenUsed/>
    <w:pPr>
      <w:ind w:firstLine="567"/>
      <w:jc w:val="both"/>
    </w:pPr>
  </w:style>
  <w:style w:type="paragraph" w:customStyle="1" w:styleId="endform">
    <w:name w:val="endform"/>
    <w:basedOn w:val="a"/>
    <w:uiPriority w:val="99"/>
    <w:unhideWhenUsed/>
    <w:pPr>
      <w:ind w:firstLine="567"/>
      <w:jc w:val="both"/>
    </w:pPr>
  </w:style>
  <w:style w:type="paragraph" w:customStyle="1" w:styleId="snoski">
    <w:name w:val="snoski"/>
    <w:basedOn w:val="a"/>
    <w:unhideWhenUsed/>
    <w:pPr>
      <w:jc w:val="both"/>
    </w:pPr>
    <w:rPr>
      <w:sz w:val="20"/>
    </w:rPr>
  </w:style>
  <w:style w:type="paragraph" w:customStyle="1" w:styleId="titlep">
    <w:name w:val="titlep"/>
    <w:basedOn w:val="a"/>
    <w:unhideWhenUsed/>
    <w:pPr>
      <w:spacing w:before="240" w:after="240"/>
      <w:jc w:val="center"/>
    </w:pPr>
    <w:rPr>
      <w:b/>
    </w:rPr>
  </w:style>
  <w:style w:type="paragraph" w:customStyle="1" w:styleId="append">
    <w:name w:val="append"/>
    <w:basedOn w:val="a"/>
    <w:unhideWhenUsed/>
    <w:qFormat/>
    <w:rPr>
      <w:sz w:val="22"/>
    </w:rPr>
  </w:style>
  <w:style w:type="paragraph" w:customStyle="1" w:styleId="comment">
    <w:name w:val="comment"/>
    <w:basedOn w:val="a"/>
    <w:unhideWhenUsed/>
    <w:pPr>
      <w:ind w:firstLine="709"/>
      <w:jc w:val="both"/>
    </w:pPr>
    <w:rPr>
      <w:sz w:val="20"/>
    </w:rPr>
  </w:style>
  <w:style w:type="paragraph" w:customStyle="1" w:styleId="nonumheader">
    <w:name w:val="nonumheader"/>
    <w:basedOn w:val="a"/>
    <w:unhideWhenUsed/>
    <w:qFormat/>
    <w:pPr>
      <w:spacing w:before="240" w:after="240"/>
      <w:jc w:val="center"/>
    </w:pPr>
    <w:rPr>
      <w:b/>
    </w:rPr>
  </w:style>
  <w:style w:type="paragraph" w:customStyle="1" w:styleId="ConsPlusNonformat">
    <w:name w:val="ConsPlusNonformat"/>
    <w:unhideWhenUsed/>
    <w:pPr>
      <w:widowControl w:val="0"/>
      <w:autoSpaceDE w:val="0"/>
      <w:autoSpaceDN w:val="0"/>
    </w:pPr>
    <w:rPr>
      <w:rFonts w:ascii="Courier New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</w:pPr>
    <w:rPr>
      <w:rFonts w:ascii="Arial"/>
      <w:sz w:val="22"/>
    </w:rPr>
  </w:style>
  <w:style w:type="character" w:customStyle="1" w:styleId="a4">
    <w:name w:val="Верхний колонтитул Знак"/>
    <w:basedOn w:val="a0"/>
    <w:link w:val="a3"/>
    <w:uiPriority w:val="99"/>
    <w:unhideWhenUsed/>
    <w:qFormat/>
    <w:locked/>
    <w:rPr>
      <w:rFonts w:ascii="Times New Roman" w:hint="default"/>
      <w:sz w:val="24"/>
    </w:rPr>
  </w:style>
  <w:style w:type="character" w:customStyle="1" w:styleId="a6">
    <w:name w:val="Нижний колонтитул Знак"/>
    <w:basedOn w:val="a0"/>
    <w:link w:val="a5"/>
    <w:uiPriority w:val="99"/>
    <w:unhideWhenUsed/>
    <w:qFormat/>
    <w:locked/>
    <w:rPr>
      <w:rFonts w:ascii="Times New Roman" w:hint="default"/>
      <w:sz w:val="24"/>
    </w:rPr>
  </w:style>
  <w:style w:type="character" w:customStyle="1" w:styleId="datecity">
    <w:name w:val="datecity"/>
    <w:basedOn w:val="a0"/>
    <w:uiPriority w:val="99"/>
    <w:unhideWhenUsed/>
    <w:qFormat/>
    <w:rPr>
      <w:rFonts w:ascii="Times New Roman" w:hint="default"/>
      <w:sz w:val="24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ftmach@liftmach.by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RomanenkoII</dc:creator>
  <cp:lastModifiedBy>Челочев Сергей Викторович</cp:lastModifiedBy>
  <cp:revision>2</cp:revision>
  <dcterms:created xsi:type="dcterms:W3CDTF">2023-09-13T06:35:00Z</dcterms:created>
  <dcterms:modified xsi:type="dcterms:W3CDTF">2023-09-13T06:35:00Z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