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99" w:rsidRPr="00BA68F0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ПРОТОКОЛ</w:t>
      </w:r>
    </w:p>
    <w:p w:rsidR="00115F05" w:rsidRPr="00BA68F0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 xml:space="preserve">заседания общественного координационного экологического совета при </w:t>
      </w:r>
      <w:r w:rsidR="00AB53CF" w:rsidRPr="00BA68F0">
        <w:rPr>
          <w:rFonts w:ascii="Times New Roman" w:hAnsi="Times New Roman"/>
          <w:sz w:val="28"/>
          <w:szCs w:val="28"/>
        </w:rPr>
        <w:t>Могилевском областном комитете</w:t>
      </w:r>
      <w:r w:rsidRPr="00BA68F0">
        <w:rPr>
          <w:rFonts w:ascii="Times New Roman" w:hAnsi="Times New Roman"/>
          <w:sz w:val="28"/>
          <w:szCs w:val="28"/>
        </w:rPr>
        <w:t xml:space="preserve"> природных рес</w:t>
      </w:r>
      <w:r w:rsidR="00115F05" w:rsidRPr="00BA68F0">
        <w:rPr>
          <w:rFonts w:ascii="Times New Roman" w:hAnsi="Times New Roman"/>
          <w:sz w:val="28"/>
          <w:szCs w:val="28"/>
        </w:rPr>
        <w:t>урсов и охраны окружающей среды</w:t>
      </w:r>
    </w:p>
    <w:p w:rsidR="001E5735" w:rsidRPr="00BA68F0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 xml:space="preserve"> (</w:t>
      </w:r>
      <w:r w:rsidR="00114EA9" w:rsidRPr="00BA68F0">
        <w:rPr>
          <w:rFonts w:ascii="Times New Roman" w:hAnsi="Times New Roman"/>
          <w:sz w:val="28"/>
          <w:szCs w:val="28"/>
        </w:rPr>
        <w:t xml:space="preserve">далее – </w:t>
      </w:r>
      <w:r w:rsidRPr="00BA68F0">
        <w:rPr>
          <w:rFonts w:ascii="Times New Roman" w:hAnsi="Times New Roman"/>
          <w:sz w:val="28"/>
          <w:szCs w:val="28"/>
        </w:rPr>
        <w:t>ОКЭС)</w:t>
      </w:r>
    </w:p>
    <w:p w:rsidR="00AB53CF" w:rsidRPr="00BA68F0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53CF" w:rsidRPr="00BA68F0" w:rsidRDefault="00AB53CF" w:rsidP="00AB53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</w:p>
    <w:p w:rsidR="00AB53CF" w:rsidRPr="00BA68F0" w:rsidRDefault="00AB53CF" w:rsidP="00AB53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г.Могилев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ул.Орловского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, 24Б</w:t>
      </w:r>
    </w:p>
    <w:p w:rsidR="00DC6003" w:rsidRPr="00BA68F0" w:rsidRDefault="009617E9" w:rsidP="00A570E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68F0">
        <w:rPr>
          <w:rFonts w:ascii="Times New Roman" w:hAnsi="Times New Roman"/>
          <w:b/>
          <w:sz w:val="28"/>
          <w:szCs w:val="28"/>
        </w:rPr>
        <w:t xml:space="preserve">30 </w:t>
      </w:r>
      <w:r w:rsidR="007503BA" w:rsidRPr="00BA68F0">
        <w:rPr>
          <w:rFonts w:ascii="Times New Roman" w:hAnsi="Times New Roman"/>
          <w:b/>
          <w:sz w:val="28"/>
          <w:szCs w:val="28"/>
        </w:rPr>
        <w:t>июня</w:t>
      </w:r>
      <w:r w:rsidRPr="00BA68F0">
        <w:rPr>
          <w:rFonts w:ascii="Times New Roman" w:hAnsi="Times New Roman"/>
          <w:b/>
          <w:sz w:val="28"/>
          <w:szCs w:val="28"/>
        </w:rPr>
        <w:t xml:space="preserve"> 2022</w:t>
      </w:r>
      <w:r w:rsidR="00DC6003" w:rsidRPr="00BA68F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C6003" w:rsidRPr="00BA68F0">
        <w:rPr>
          <w:rFonts w:ascii="Times New Roman" w:hAnsi="Times New Roman"/>
          <w:b/>
          <w:sz w:val="28"/>
          <w:szCs w:val="28"/>
        </w:rPr>
        <w:t>года  1</w:t>
      </w:r>
      <w:r w:rsidRPr="00BA68F0">
        <w:rPr>
          <w:rFonts w:ascii="Times New Roman" w:hAnsi="Times New Roman"/>
          <w:b/>
          <w:sz w:val="28"/>
          <w:szCs w:val="28"/>
        </w:rPr>
        <w:t>5</w:t>
      </w:r>
      <w:r w:rsidR="00DC6003" w:rsidRPr="00BA68F0">
        <w:rPr>
          <w:rFonts w:ascii="Times New Roman" w:hAnsi="Times New Roman"/>
          <w:b/>
          <w:sz w:val="28"/>
          <w:szCs w:val="28"/>
        </w:rPr>
        <w:t>.</w:t>
      </w:r>
      <w:r w:rsidRPr="00BA68F0">
        <w:rPr>
          <w:rFonts w:ascii="Times New Roman" w:hAnsi="Times New Roman"/>
          <w:b/>
          <w:sz w:val="28"/>
          <w:szCs w:val="28"/>
        </w:rPr>
        <w:t>0</w:t>
      </w:r>
      <w:r w:rsidR="00DC6003" w:rsidRPr="00BA68F0">
        <w:rPr>
          <w:rFonts w:ascii="Times New Roman" w:hAnsi="Times New Roman"/>
          <w:b/>
          <w:sz w:val="28"/>
          <w:szCs w:val="28"/>
        </w:rPr>
        <w:t>0</w:t>
      </w:r>
      <w:proofErr w:type="gramEnd"/>
    </w:p>
    <w:p w:rsidR="00AB53CF" w:rsidRPr="00BA68F0" w:rsidRDefault="00AB53CF" w:rsidP="00AB53CF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1CC" w:rsidRPr="00BA68F0" w:rsidRDefault="0027755C" w:rsidP="00AB5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П</w:t>
      </w:r>
      <w:r w:rsidR="00A161CC" w:rsidRPr="00BA68F0">
        <w:rPr>
          <w:rFonts w:ascii="Times New Roman" w:hAnsi="Times New Roman"/>
          <w:sz w:val="28"/>
          <w:szCs w:val="28"/>
        </w:rPr>
        <w:t>редседател</w:t>
      </w:r>
      <w:r w:rsidRPr="00BA68F0">
        <w:rPr>
          <w:rFonts w:ascii="Times New Roman" w:hAnsi="Times New Roman"/>
          <w:sz w:val="28"/>
          <w:szCs w:val="28"/>
        </w:rPr>
        <w:t>ь</w:t>
      </w:r>
      <w:r w:rsidR="00A161CC" w:rsidRPr="00BA68F0">
        <w:rPr>
          <w:rFonts w:ascii="Times New Roman" w:hAnsi="Times New Roman"/>
          <w:sz w:val="28"/>
          <w:szCs w:val="28"/>
        </w:rPr>
        <w:t xml:space="preserve"> – </w:t>
      </w:r>
      <w:r w:rsidR="00DC6003" w:rsidRPr="00BA68F0">
        <w:rPr>
          <w:rFonts w:ascii="Times New Roman" w:hAnsi="Times New Roman"/>
          <w:sz w:val="28"/>
          <w:szCs w:val="28"/>
        </w:rPr>
        <w:t>Тепляков К.И</w:t>
      </w:r>
      <w:r w:rsidR="00C82442" w:rsidRPr="00BA68F0">
        <w:rPr>
          <w:rFonts w:ascii="Times New Roman" w:hAnsi="Times New Roman"/>
          <w:sz w:val="28"/>
          <w:szCs w:val="28"/>
        </w:rPr>
        <w:t>.</w:t>
      </w:r>
    </w:p>
    <w:p w:rsidR="00AB53CF" w:rsidRPr="00BA68F0" w:rsidRDefault="00AB53CF" w:rsidP="00AB53CF">
      <w:pPr>
        <w:pStyle w:val="ad"/>
        <w:spacing w:after="0"/>
        <w:ind w:left="0"/>
        <w:jc w:val="both"/>
        <w:rPr>
          <w:sz w:val="28"/>
          <w:szCs w:val="28"/>
        </w:rPr>
      </w:pPr>
      <w:r w:rsidRPr="00BA68F0">
        <w:rPr>
          <w:sz w:val="28"/>
          <w:szCs w:val="28"/>
        </w:rPr>
        <w:t xml:space="preserve">Секретарь </w:t>
      </w:r>
      <w:r w:rsidR="00A161CC" w:rsidRPr="00BA68F0">
        <w:rPr>
          <w:sz w:val="28"/>
          <w:szCs w:val="28"/>
        </w:rPr>
        <w:t xml:space="preserve">     </w:t>
      </w:r>
      <w:r w:rsidRPr="00BA68F0">
        <w:rPr>
          <w:sz w:val="28"/>
          <w:szCs w:val="28"/>
        </w:rPr>
        <w:t>– Радченко Е.А.</w:t>
      </w:r>
    </w:p>
    <w:p w:rsidR="00AB53CF" w:rsidRPr="00BA68F0" w:rsidRDefault="00AB53CF" w:rsidP="00AB53CF">
      <w:pPr>
        <w:pStyle w:val="ad"/>
        <w:spacing w:after="0"/>
        <w:ind w:left="0"/>
        <w:jc w:val="both"/>
        <w:rPr>
          <w:sz w:val="28"/>
          <w:szCs w:val="28"/>
        </w:rPr>
      </w:pPr>
    </w:p>
    <w:p w:rsidR="00AB53CF" w:rsidRPr="00BA68F0" w:rsidRDefault="00AB53CF" w:rsidP="00AB5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Присутствовали:</w:t>
      </w:r>
      <w:r w:rsidR="007503BA" w:rsidRPr="00BA68F0">
        <w:rPr>
          <w:rFonts w:ascii="Times New Roman" w:hAnsi="Times New Roman"/>
          <w:sz w:val="28"/>
          <w:szCs w:val="28"/>
        </w:rPr>
        <w:t xml:space="preserve"> 8 </w:t>
      </w:r>
      <w:r w:rsidRPr="00BA68F0">
        <w:rPr>
          <w:rFonts w:ascii="Times New Roman" w:hAnsi="Times New Roman"/>
          <w:sz w:val="28"/>
          <w:szCs w:val="28"/>
        </w:rPr>
        <w:t xml:space="preserve">человек </w:t>
      </w:r>
    </w:p>
    <w:p w:rsidR="00AB53CF" w:rsidRPr="00BA68F0" w:rsidRDefault="00AB53CF" w:rsidP="00AB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3CF" w:rsidRPr="00BA68F0" w:rsidRDefault="00AB53CF" w:rsidP="00231F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Повестка дня:</w:t>
      </w:r>
    </w:p>
    <w:p w:rsidR="00BC0B1C" w:rsidRPr="00BA68F0" w:rsidRDefault="00C82442" w:rsidP="00231FE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C0B1C" w:rsidRPr="00BA68F0">
        <w:rPr>
          <w:rFonts w:ascii="Times New Roman" w:hAnsi="Times New Roman"/>
          <w:sz w:val="28"/>
          <w:szCs w:val="28"/>
        </w:rPr>
        <w:t>Циркулярная экономика: использование возобновляемых источников энергии в Могилевской области.</w:t>
      </w:r>
    </w:p>
    <w:p w:rsidR="00BC0B1C" w:rsidRPr="00BA68F0" w:rsidRDefault="00C82442" w:rsidP="00231FE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68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Докладчик</w:t>
      </w:r>
      <w:r w:rsidR="00BC0B1C" w:rsidRPr="00BA68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</w:t>
      </w:r>
      <w:r w:rsidRPr="00BA68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BA68F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C0B1C" w:rsidRPr="00BA68F0">
        <w:rPr>
          <w:rFonts w:ascii="Times New Roman" w:hAnsi="Times New Roman"/>
          <w:bCs/>
          <w:i/>
          <w:sz w:val="28"/>
          <w:szCs w:val="28"/>
        </w:rPr>
        <w:t>Челочев</w:t>
      </w:r>
      <w:proofErr w:type="spellEnd"/>
      <w:r w:rsidR="00BC0B1C" w:rsidRPr="00BA68F0">
        <w:rPr>
          <w:rFonts w:ascii="Times New Roman" w:hAnsi="Times New Roman"/>
          <w:bCs/>
          <w:i/>
          <w:sz w:val="28"/>
          <w:szCs w:val="28"/>
        </w:rPr>
        <w:t xml:space="preserve"> Сергей Викторович - </w:t>
      </w:r>
      <w:r w:rsidR="00BC0B1C" w:rsidRPr="00BA68F0">
        <w:rPr>
          <w:rFonts w:ascii="Times New Roman" w:hAnsi="Times New Roman"/>
          <w:i/>
          <w:sz w:val="28"/>
          <w:szCs w:val="28"/>
        </w:rPr>
        <w:t xml:space="preserve"> начальник отдела контроля за охраной и </w:t>
      </w:r>
      <w:proofErr w:type="gramStart"/>
      <w:r w:rsidR="00BC0B1C" w:rsidRPr="00BA68F0">
        <w:rPr>
          <w:rFonts w:ascii="Times New Roman" w:hAnsi="Times New Roman"/>
          <w:i/>
          <w:sz w:val="28"/>
          <w:szCs w:val="28"/>
        </w:rPr>
        <w:t>использованием  атмосферного</w:t>
      </w:r>
      <w:proofErr w:type="gramEnd"/>
      <w:r w:rsidR="00BC0B1C" w:rsidRPr="00BA68F0">
        <w:rPr>
          <w:rFonts w:ascii="Times New Roman" w:hAnsi="Times New Roman"/>
          <w:i/>
          <w:sz w:val="28"/>
          <w:szCs w:val="28"/>
        </w:rPr>
        <w:t xml:space="preserve"> воздуха и водных ресурсов</w:t>
      </w:r>
    </w:p>
    <w:p w:rsidR="00BC0B1C" w:rsidRPr="00BA68F0" w:rsidRDefault="00BC0B1C" w:rsidP="00231FE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68F0">
        <w:rPr>
          <w:rFonts w:ascii="Times New Roman" w:hAnsi="Times New Roman"/>
          <w:i/>
          <w:sz w:val="28"/>
          <w:szCs w:val="28"/>
        </w:rPr>
        <w:t>Беляков Павел Сергеевич - начальник отдела контроля за обращением с отходами</w:t>
      </w:r>
    </w:p>
    <w:p w:rsidR="00C82442" w:rsidRPr="00BA68F0" w:rsidRDefault="00C82442" w:rsidP="00231F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0B1C" w:rsidRPr="00BA68F0" w:rsidRDefault="00AF1F60" w:rsidP="00231FE9">
      <w:pPr>
        <w:pStyle w:val="a3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442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0B1C" w:rsidRPr="00BA68F0">
        <w:rPr>
          <w:rFonts w:ascii="Times New Roman" w:hAnsi="Times New Roman"/>
          <w:sz w:val="28"/>
          <w:szCs w:val="28"/>
        </w:rPr>
        <w:t>О ходе реализации в области Национального плана действий по предотвращению деградации земель (почв) на 2021 - 2025 годы.</w:t>
      </w:r>
    </w:p>
    <w:p w:rsidR="00BC0B1C" w:rsidRPr="00BA68F0" w:rsidRDefault="00A570EA" w:rsidP="00231FE9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A68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Докладчик:</w:t>
      </w:r>
      <w:r w:rsidRPr="00BA68F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BC0B1C" w:rsidRPr="00BA68F0">
        <w:rPr>
          <w:rFonts w:ascii="Times New Roman" w:hAnsi="Times New Roman"/>
          <w:bCs/>
          <w:i/>
          <w:sz w:val="28"/>
          <w:szCs w:val="28"/>
        </w:rPr>
        <w:t>Овчинников Андрей Геннадьевич</w:t>
      </w:r>
      <w:r w:rsidR="007503BA" w:rsidRPr="00BA68F0">
        <w:rPr>
          <w:rFonts w:ascii="Times New Roman" w:hAnsi="Times New Roman"/>
          <w:bCs/>
          <w:i/>
          <w:sz w:val="28"/>
          <w:szCs w:val="28"/>
        </w:rPr>
        <w:t xml:space="preserve"> - </w:t>
      </w:r>
      <w:r w:rsidR="00BC0B1C" w:rsidRPr="00BA68F0">
        <w:rPr>
          <w:rFonts w:ascii="Times New Roman" w:hAnsi="Times New Roman"/>
          <w:bCs/>
          <w:i/>
          <w:sz w:val="28"/>
          <w:szCs w:val="28"/>
        </w:rPr>
        <w:t>начальник отдела контроля за охраной и использованием земель, растительного и животного мира, недр, особо охраняемых природных территорий</w:t>
      </w:r>
    </w:p>
    <w:p w:rsidR="00231FE9" w:rsidRPr="00BA68F0" w:rsidRDefault="00231FE9" w:rsidP="00231FE9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C0B1C" w:rsidRPr="00BA68F0" w:rsidRDefault="00BC0B1C" w:rsidP="00231FE9">
      <w:pPr>
        <w:pStyle w:val="a3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A68F0">
        <w:rPr>
          <w:rFonts w:ascii="Times New Roman" w:hAnsi="Times New Roman"/>
          <w:sz w:val="28"/>
          <w:szCs w:val="28"/>
        </w:rPr>
        <w:t>О типичных нарушениях природоохранного законодательства, устанавливаемых территориальными органами Минприроды и принимаемых мерах.</w:t>
      </w:r>
    </w:p>
    <w:p w:rsidR="00BC0B1C" w:rsidRPr="00BA68F0" w:rsidRDefault="00BC0B1C" w:rsidP="00231FE9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A68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Докладчик: </w:t>
      </w:r>
      <w:proofErr w:type="spellStart"/>
      <w:r w:rsidRPr="00BA68F0">
        <w:rPr>
          <w:rFonts w:ascii="Times New Roman" w:hAnsi="Times New Roman"/>
          <w:bCs/>
          <w:i/>
          <w:sz w:val="28"/>
          <w:szCs w:val="28"/>
        </w:rPr>
        <w:t>Турышев</w:t>
      </w:r>
      <w:proofErr w:type="spellEnd"/>
      <w:r w:rsidRPr="00BA68F0">
        <w:rPr>
          <w:rFonts w:ascii="Times New Roman" w:hAnsi="Times New Roman"/>
          <w:bCs/>
          <w:i/>
          <w:sz w:val="28"/>
          <w:szCs w:val="28"/>
        </w:rPr>
        <w:t xml:space="preserve"> Виталий Валерьевич</w:t>
      </w:r>
      <w:r w:rsidR="007503BA" w:rsidRPr="00BA68F0">
        <w:rPr>
          <w:rFonts w:ascii="Times New Roman" w:hAnsi="Times New Roman"/>
          <w:bCs/>
          <w:i/>
          <w:sz w:val="28"/>
          <w:szCs w:val="28"/>
        </w:rPr>
        <w:t xml:space="preserve"> - </w:t>
      </w:r>
      <w:r w:rsidRPr="00BA68F0">
        <w:rPr>
          <w:rFonts w:ascii="Times New Roman" w:hAnsi="Times New Roman"/>
          <w:bCs/>
          <w:i/>
          <w:sz w:val="28"/>
          <w:szCs w:val="28"/>
        </w:rPr>
        <w:t>начальник отдела координации контрольной деятельности</w:t>
      </w:r>
    </w:p>
    <w:p w:rsidR="00BC0B1C" w:rsidRPr="00BA68F0" w:rsidRDefault="00BC0B1C" w:rsidP="007503BA">
      <w:pPr>
        <w:pStyle w:val="a3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42" w:rsidRPr="00BA68F0" w:rsidRDefault="00BC0B1C" w:rsidP="007503BA">
      <w:pPr>
        <w:pStyle w:val="a3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82442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Разное</w:t>
      </w:r>
    </w:p>
    <w:p w:rsidR="00C82442" w:rsidRPr="00BA68F0" w:rsidRDefault="00C82442" w:rsidP="007503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269" w:rsidRPr="00BA68F0" w:rsidRDefault="00BD5BBA" w:rsidP="00617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 xml:space="preserve">СЛУШАЛИ: </w:t>
      </w:r>
      <w:r w:rsidR="00A570EA" w:rsidRPr="00BA68F0">
        <w:rPr>
          <w:rFonts w:ascii="Times New Roman" w:hAnsi="Times New Roman"/>
          <w:sz w:val="28"/>
          <w:szCs w:val="28"/>
        </w:rPr>
        <w:t>Теплякова К.И</w:t>
      </w:r>
      <w:r w:rsidR="0010567D" w:rsidRPr="00BA68F0">
        <w:rPr>
          <w:rFonts w:ascii="Times New Roman" w:hAnsi="Times New Roman"/>
          <w:sz w:val="28"/>
          <w:szCs w:val="28"/>
        </w:rPr>
        <w:t xml:space="preserve">., который </w:t>
      </w:r>
      <w:r w:rsidR="008E5305" w:rsidRPr="00BA68F0">
        <w:rPr>
          <w:rFonts w:ascii="Times New Roman" w:hAnsi="Times New Roman"/>
          <w:sz w:val="28"/>
          <w:szCs w:val="28"/>
        </w:rPr>
        <w:t xml:space="preserve">поприветствовал </w:t>
      </w:r>
      <w:r w:rsidR="00FD4E60" w:rsidRPr="00BA68F0">
        <w:rPr>
          <w:rFonts w:ascii="Times New Roman" w:hAnsi="Times New Roman"/>
          <w:sz w:val="28"/>
          <w:szCs w:val="28"/>
        </w:rPr>
        <w:t>участников заседания ОКЭС</w:t>
      </w:r>
      <w:r w:rsidR="000951E0" w:rsidRPr="00BA68F0">
        <w:rPr>
          <w:rFonts w:ascii="Times New Roman" w:hAnsi="Times New Roman"/>
          <w:sz w:val="28"/>
          <w:szCs w:val="28"/>
        </w:rPr>
        <w:t xml:space="preserve">, </w:t>
      </w:r>
      <w:r w:rsidR="009A5BD2" w:rsidRPr="00BA68F0">
        <w:rPr>
          <w:rFonts w:ascii="Times New Roman" w:hAnsi="Times New Roman"/>
          <w:sz w:val="28"/>
          <w:szCs w:val="28"/>
        </w:rPr>
        <w:t>ознакомил с</w:t>
      </w:r>
      <w:r w:rsidR="000951E0" w:rsidRPr="00BA68F0">
        <w:rPr>
          <w:rFonts w:ascii="Times New Roman" w:hAnsi="Times New Roman"/>
          <w:sz w:val="28"/>
          <w:szCs w:val="28"/>
        </w:rPr>
        <w:t xml:space="preserve"> повестк</w:t>
      </w:r>
      <w:r w:rsidR="009A5BD2" w:rsidRPr="00BA68F0">
        <w:rPr>
          <w:rFonts w:ascii="Times New Roman" w:hAnsi="Times New Roman"/>
          <w:sz w:val="28"/>
          <w:szCs w:val="28"/>
        </w:rPr>
        <w:t>ой</w:t>
      </w:r>
      <w:r w:rsidR="00A81269" w:rsidRPr="00BA68F0">
        <w:rPr>
          <w:rFonts w:ascii="Times New Roman" w:hAnsi="Times New Roman"/>
          <w:sz w:val="28"/>
          <w:szCs w:val="28"/>
        </w:rPr>
        <w:t xml:space="preserve"> дня.</w:t>
      </w:r>
    </w:p>
    <w:p w:rsidR="00A81269" w:rsidRPr="00BA68F0" w:rsidRDefault="00A81269" w:rsidP="00617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5F35" w:rsidRPr="00BA68F0" w:rsidRDefault="003E07F6" w:rsidP="00617B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BA68F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 первому вопросу:</w:t>
      </w:r>
    </w:p>
    <w:p w:rsidR="00231FE9" w:rsidRPr="00BA68F0" w:rsidRDefault="003E07F6" w:rsidP="001E4F10">
      <w:pPr>
        <w:spacing w:after="0" w:line="240" w:lineRule="auto"/>
        <w:ind w:left="261" w:right="142" w:firstLine="7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68F0">
        <w:rPr>
          <w:rFonts w:ascii="Times New Roman" w:hAnsi="Times New Roman"/>
          <w:sz w:val="28"/>
          <w:szCs w:val="28"/>
        </w:rPr>
        <w:t xml:space="preserve">СЛУШАЛИ: </w:t>
      </w:r>
      <w:r w:rsidR="00231FE9" w:rsidRPr="00BA6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A17" w:rsidRPr="00BA68F0">
        <w:rPr>
          <w:rFonts w:ascii="Times New Roman" w:hAnsi="Times New Roman"/>
          <w:sz w:val="28"/>
          <w:szCs w:val="28"/>
        </w:rPr>
        <w:t>Челочева</w:t>
      </w:r>
      <w:proofErr w:type="spellEnd"/>
      <w:proofErr w:type="gramEnd"/>
      <w:r w:rsidR="004D1A17" w:rsidRPr="00BA68F0">
        <w:rPr>
          <w:rFonts w:ascii="Times New Roman" w:hAnsi="Times New Roman"/>
          <w:sz w:val="28"/>
          <w:szCs w:val="28"/>
        </w:rPr>
        <w:t xml:space="preserve"> С.В., который отметил, </w:t>
      </w:r>
      <w:r w:rsidR="00C00C9D" w:rsidRPr="00BA68F0">
        <w:rPr>
          <w:rFonts w:ascii="Times New Roman" w:hAnsi="Times New Roman"/>
          <w:sz w:val="28"/>
          <w:szCs w:val="28"/>
        </w:rPr>
        <w:t xml:space="preserve">что </w:t>
      </w:r>
      <w:r w:rsidR="001E4F10" w:rsidRPr="00BA68F0">
        <w:rPr>
          <w:rFonts w:ascii="Times New Roman" w:hAnsi="Times New Roman"/>
          <w:sz w:val="28"/>
          <w:szCs w:val="28"/>
        </w:rPr>
        <w:t>о</w:t>
      </w:r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сновополагающим нормативным правовым актом, который определил развитие возобновляемой </w:t>
      </w:r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энергетики, стал Закон Республики Беларусь от 27 декабря 2010 г. № 204-3 «О возобновляемых источниках энергии».</w:t>
      </w:r>
    </w:p>
    <w:p w:rsidR="00231FE9" w:rsidRPr="00BA68F0" w:rsidRDefault="00231FE9" w:rsidP="00231FE9">
      <w:pPr>
        <w:spacing w:after="0" w:line="349" w:lineRule="exact"/>
        <w:ind w:left="260" w:right="140"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К возобновляемым источникам энергии (</w:t>
      </w:r>
      <w:r w:rsidR="004D1A17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ВИЭ) относят солнце, ветер, воду,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биотопливо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, т. е. все источники, энергия которых считается неисчерпаемой. Причин развивать возобновляемую энергетику как минимум две</w:t>
      </w:r>
      <w:r w:rsidR="001E4F10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экологическая безопасность и энергетическая независимость. Очевидный плюс ВИЭ в том, что при достижении срока окупаемости вырабатываемая электроэнергия становится почти бесплатной. Минус - в нестабильной выработке, которую пока приходится резервировать традиционной генерацией.</w:t>
      </w:r>
    </w:p>
    <w:p w:rsidR="00231FE9" w:rsidRPr="00BA68F0" w:rsidRDefault="00393A0C" w:rsidP="00231FE9">
      <w:pPr>
        <w:spacing w:after="0" w:line="349" w:lineRule="exact"/>
        <w:ind w:left="260" w:right="140"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Выступающий обратил внимание присутствующих на то, что н</w:t>
      </w:r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t>а сегодняшний день согласно Государственного кадастра возобновляемых источников энергии Минприроды в Могилевской облас</w:t>
      </w:r>
      <w:r w:rsidR="001E6032" w:rsidRPr="00BA68F0">
        <w:rPr>
          <w:rFonts w:ascii="Times New Roman" w:eastAsia="Times New Roman" w:hAnsi="Times New Roman"/>
          <w:sz w:val="28"/>
          <w:szCs w:val="28"/>
          <w:lang w:eastAsia="ru-RU"/>
        </w:rPr>
        <w:t>ти насчитывается 106 действующих</w:t>
      </w:r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</w:t>
      </w:r>
      <w:r w:rsidR="001E6032" w:rsidRPr="00BA68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t>к ВИЭ суммарной мощностью 231,13 МВт:</w:t>
      </w:r>
    </w:p>
    <w:p w:rsidR="00231FE9" w:rsidRPr="00BA68F0" w:rsidRDefault="00231FE9" w:rsidP="00231FE9">
      <w:pPr>
        <w:spacing w:after="0" w:line="349" w:lineRule="exact"/>
        <w:ind w:left="260" w:right="140"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ветроэнергетические установки суммарной мощностью 67,38 МВт, в количестве - 59 шт</w:t>
      </w:r>
      <w:r w:rsidR="001E6032" w:rsidRPr="00BA68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1FE9" w:rsidRPr="00BA68F0" w:rsidRDefault="00231FE9" w:rsidP="004D1A17">
      <w:pPr>
        <w:spacing w:after="0" w:line="349" w:lineRule="exact"/>
        <w:ind w:left="1000" w:right="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солнечные электростанции - 131,08 МВт, в количестве - 23 шт</w:t>
      </w:r>
      <w:r w:rsidR="001E6032" w:rsidRPr="00BA68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; биогазовые комплексы - 5,64 МВт, в количестве - 12 шт</w:t>
      </w:r>
      <w:r w:rsidR="001E6032" w:rsidRPr="00BA68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; гидроэлектростанции - 4,1 МВт, в количестве - 4 шт</w:t>
      </w:r>
      <w:r w:rsidR="001E6032" w:rsidRPr="00BA68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; установки, использующие биомассу - 22,93 МВт, в количестве </w:t>
      </w:r>
      <w:r w:rsidR="004D1A17" w:rsidRPr="00BA68F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4D1A17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шт.</w:t>
      </w:r>
    </w:p>
    <w:p w:rsidR="00231FE9" w:rsidRPr="00BA68F0" w:rsidRDefault="00393A0C" w:rsidP="004D1A17">
      <w:pPr>
        <w:spacing w:after="0" w:line="349" w:lineRule="exact"/>
        <w:ind w:left="260" w:right="140"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Челочев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проинформировал участников заседания о том, что в</w:t>
      </w:r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Быховском районе реализован инвестиционный проект «Строительство электростанции на возобновляемых источниках энергии в г. Быхове по </w:t>
      </w:r>
      <w:proofErr w:type="spellStart"/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t>ул.Железнодорожной</w:t>
      </w:r>
      <w:proofErr w:type="spellEnd"/>
      <w:r w:rsidR="00231FE9" w:rsidRPr="00BA68F0">
        <w:rPr>
          <w:rFonts w:ascii="Times New Roman" w:eastAsia="Times New Roman" w:hAnsi="Times New Roman"/>
          <w:sz w:val="28"/>
          <w:szCs w:val="28"/>
          <w:lang w:eastAsia="ru-RU"/>
        </w:rPr>
        <w:t>». В рамках реализации проекта предусматривается также строительство линии по производству древесных гранул.</w:t>
      </w:r>
    </w:p>
    <w:p w:rsidR="00231FE9" w:rsidRPr="00BA68F0" w:rsidRDefault="00231FE9" w:rsidP="004D1A17">
      <w:pPr>
        <w:spacing w:after="0" w:line="349" w:lineRule="exact"/>
        <w:ind w:left="260" w:right="140"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Чериковского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введена солнечная электростанция суммарной мощностью 109 МВт.</w:t>
      </w:r>
    </w:p>
    <w:p w:rsidR="00861CD6" w:rsidRPr="00BA68F0" w:rsidRDefault="00231FE9" w:rsidP="004D1A17">
      <w:pPr>
        <w:pStyle w:val="a3"/>
        <w:spacing w:after="0" w:line="240" w:lineRule="auto"/>
        <w:ind w:left="260"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электроэнергии, полученной из возобновляемых источников энергии в Могилевской области за 2021 год составила 590,6 тысяч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кВт.часов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/год или более 3,0% от общего количество потребленной электроэнергии. Если бы для выработки такого количества электроэнергии использовался мазут, то выброс загрязняющих веществ и п</w:t>
      </w:r>
      <w:r w:rsidR="004D1A17" w:rsidRPr="00BA68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рниковых газов в атмосферный воздух составил около 284443,47 тыс. гон.</w:t>
      </w:r>
    </w:p>
    <w:p w:rsidR="001E4F10" w:rsidRPr="00BA68F0" w:rsidRDefault="001E4F10" w:rsidP="004D1A17">
      <w:pPr>
        <w:pStyle w:val="a3"/>
        <w:spacing w:after="0" w:line="240" w:lineRule="auto"/>
        <w:ind w:left="260"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Беляков П.С. в своем выступлении </w:t>
      </w:r>
      <w:r w:rsidR="0001644A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отметил, что в области большое внимание уделяется переработке отходов, извлечению вторичных материальных ресурсов. </w:t>
      </w:r>
    </w:p>
    <w:p w:rsidR="00613245" w:rsidRPr="00BA68F0" w:rsidRDefault="0001644A" w:rsidP="00C06A49">
      <w:pPr>
        <w:pStyle w:val="a3"/>
        <w:spacing w:after="0" w:line="240" w:lineRule="auto"/>
        <w:ind w:left="260" w:firstLine="740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Выступающий отметил, что из двух имеющихся</w:t>
      </w:r>
      <w:r w:rsidR="00C94560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республике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предприятий–переработчиков ПЭ</w:t>
      </w:r>
      <w:r w:rsidR="00C06A4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-бутылки, все два находятся в Могилевской области.</w:t>
      </w:r>
    </w:p>
    <w:p w:rsidR="00613245" w:rsidRPr="00BA68F0" w:rsidRDefault="00613245" w:rsidP="0061324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РЕШИЛИ:</w:t>
      </w:r>
    </w:p>
    <w:p w:rsidR="00613245" w:rsidRPr="00BA68F0" w:rsidRDefault="0001644A" w:rsidP="00613245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 xml:space="preserve">Принять информацию </w:t>
      </w:r>
      <w:proofErr w:type="spellStart"/>
      <w:r w:rsidRPr="00BA68F0">
        <w:rPr>
          <w:rFonts w:ascii="Times New Roman" w:hAnsi="Times New Roman"/>
          <w:sz w:val="28"/>
          <w:szCs w:val="28"/>
        </w:rPr>
        <w:t>Челочева</w:t>
      </w:r>
      <w:proofErr w:type="spellEnd"/>
      <w:r w:rsidRPr="00BA68F0">
        <w:rPr>
          <w:rFonts w:ascii="Times New Roman" w:hAnsi="Times New Roman"/>
          <w:sz w:val="28"/>
          <w:szCs w:val="28"/>
        </w:rPr>
        <w:t xml:space="preserve"> С.В. и Белякова П.С. к сведению</w:t>
      </w:r>
    </w:p>
    <w:p w:rsidR="00155A31" w:rsidRPr="00BA68F0" w:rsidRDefault="00155A31" w:rsidP="001E5E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A68F0">
        <w:rPr>
          <w:rFonts w:ascii="Times New Roman" w:hAnsi="Times New Roman"/>
          <w:sz w:val="28"/>
          <w:szCs w:val="28"/>
          <w:u w:val="single"/>
        </w:rPr>
        <w:lastRenderedPageBreak/>
        <w:t>По второму вопросу:</w:t>
      </w:r>
    </w:p>
    <w:p w:rsidR="000D650B" w:rsidRPr="00BA68F0" w:rsidRDefault="00155A31" w:rsidP="000D650B">
      <w:pPr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C94560" w:rsidRPr="00BA68F0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="00C94560" w:rsidRPr="00BA68F0">
        <w:rPr>
          <w:rFonts w:ascii="Times New Roman" w:hAnsi="Times New Roman"/>
          <w:sz w:val="28"/>
          <w:szCs w:val="28"/>
        </w:rPr>
        <w:t xml:space="preserve"> А.Г., который отметил, что с</w:t>
      </w:r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>охранение земель и их рациональное использование является неотъемлемым направлением политики устойчивого развития и обеспечения экологической безопасности. Природные условия Беларуси в настоящее время исключают в стране опустынивание в его крайней форме, однако деградация земель (включая почвы) проявляется в нашей стране более чем в 20 видах и формах, а изменения климата усиливают актуальность данной проблемы.</w:t>
      </w:r>
      <w:r w:rsidR="000D650B" w:rsidRPr="00BA68F0">
        <w:rPr>
          <w:rFonts w:ascii="Times New Roman" w:hAnsi="Times New Roman"/>
          <w:sz w:val="28"/>
          <w:szCs w:val="28"/>
        </w:rPr>
        <w:t xml:space="preserve"> </w:t>
      </w:r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>В Беларуси, чтобы не допустить деградации земель,</w:t>
      </w:r>
      <w:r w:rsidR="00C06A4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действует Н</w:t>
      </w:r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ациональный план, включающий в себя комплекс мероприятий по улучшению состояния затрагиваемых экосистем и предотвращению деградации земель. </w:t>
      </w:r>
    </w:p>
    <w:p w:rsidR="000D650B" w:rsidRPr="00BA68F0" w:rsidRDefault="000D650B" w:rsidP="000D650B">
      <w:pPr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огилевской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="00C06A49">
        <w:rPr>
          <w:rFonts w:ascii="Times New Roman" w:eastAsia="Times New Roman" w:hAnsi="Times New Roman"/>
          <w:sz w:val="28"/>
          <w:szCs w:val="28"/>
          <w:lang w:eastAsia="ru-RU"/>
        </w:rPr>
        <w:t>проводится определенная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реализации мероприятий Национального плана действий по предотвращению деградации земель (почв) на 2021-2025 годы. Основными методами предотвращения деградации земель являются деятельность по сохранению почвенных ресурсов, облесению и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лесовосстановлению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D650B" w:rsidRPr="00BA68F0" w:rsidRDefault="000D650B" w:rsidP="000D650B">
      <w:pPr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состав земель лесного фонда приняты малопродуктивные земли, выведенные из сельскохозяйственного оборота и занятые древесно-кустарниковой растительностью площадью в 2019 – 2114 га, 2020 – 8520 га, в 2021 – 4817 га,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лесовосстановление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гарях осуществлено на площади в 2019 – 20 га, 2020 – 2 га, 2021 – 26 га.</w:t>
      </w:r>
    </w:p>
    <w:p w:rsidR="000D650B" w:rsidRPr="00BA68F0" w:rsidRDefault="000D650B" w:rsidP="000D650B">
      <w:pPr>
        <w:shd w:val="clear" w:color="auto" w:fill="FFFFFF"/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поддержания и восстановления плодородия почв сельскохозяйственных земель сельскохозяйственными организациями области внесено 5,14 млн. тонн органических удобрений, известкование кислых почв сельскохозяйственных земель проведено на площади 26,3 га.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Пестицидная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нагрузка на почвы при проведении сельскохозяйственных работ была снижена с 1,88 кг на 1 га пашни в 2019 году до 1,6 кг на 1 га пашни в 2021 году. В 2021 году произведена обработка сельскохозяйственных земель по технологиям минимальной обработки почвы на площади 7,93 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же увеличение растительного покрова способствует стабилизации гидрологического баланса земель и сохранению качества и продуктивности земли, для чего сельскохозяйственными предприятиями в 2021 году проведена рекультивация 21 отработанного внутрихозяйственного карьера на площади 18,68 га, за 5 месяцев 2022 года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рекультивированны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3 карьера на площади 3 га. Так же в 2021 году были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рекультивированы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2 отработанных промышленных карьера площадью 11,4 га в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Костюковичском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Осиповичском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районах, в 2022 году в Горецком районе был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рекультивирован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промышленный карьер на площади 8,3 га. Произведена рекультивация нарушенных сельскохозяйственных земель площадью 20 га ОАО «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Новогородищенское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» в Шкловском районе.</w:t>
      </w:r>
    </w:p>
    <w:p w:rsidR="000D650B" w:rsidRPr="00BA68F0" w:rsidRDefault="000D650B" w:rsidP="000D650B">
      <w:pPr>
        <w:shd w:val="clear" w:color="auto" w:fill="FFFFFF"/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В качестве приоритетов в области предотвращения деградации земель также определено развитие органического земледелия, отвечающего принципам формирования «зеленой» экономики. В</w:t>
      </w:r>
      <w:r w:rsidR="00C06A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одится практика производства органической продукции в крестьянских (фермерских) хозяйствах области. В 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2021 году личным подсобным хозяйством «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Косаричи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Птичи»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Глусского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подана заявка в Белорусский государственный институт метрологии на получение национального сертификата органического производства тыквы.</w:t>
      </w:r>
    </w:p>
    <w:p w:rsidR="000D650B" w:rsidRPr="00BA68F0" w:rsidRDefault="00C06A49" w:rsidP="000D650B">
      <w:pPr>
        <w:shd w:val="clear" w:color="auto" w:fill="FFFFFF"/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Уделяется внимание радиационно-</w:t>
      </w:r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>опасным землям. В 2021 году из земель запаса для ведения лесного хозяйства передано 0,8 </w:t>
      </w:r>
      <w:proofErr w:type="spellStart"/>
      <w:proofErr w:type="gramStart"/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proofErr w:type="gramEnd"/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>опасных земель, ранее исключенных из сельскохозяйственного оборота, с переводом их в категорию земель лесного фонда.</w:t>
      </w:r>
    </w:p>
    <w:p w:rsidR="000D650B" w:rsidRPr="00BA68F0" w:rsidRDefault="00C94560" w:rsidP="000D650B">
      <w:pPr>
        <w:shd w:val="clear" w:color="auto" w:fill="FFFFFF"/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Овчинников А.Г. проинформировал, что н</w:t>
      </w:r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>а 2022 год в Хотимском районе в соответствии с Государственной программой «Охрана окружающей среды и устойчивое использование природных ресурсов» на 2021-2025 годы из средств областного бюджета в консолидированный бюджет района предусмотрено выделение финансовых средств в размере 65,0 тыс.</w:t>
      </w:r>
      <w:r w:rsidR="00C06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50B" w:rsidRPr="00BA68F0">
        <w:rPr>
          <w:rFonts w:ascii="Times New Roman" w:eastAsia="Times New Roman" w:hAnsi="Times New Roman"/>
          <w:sz w:val="28"/>
          <w:szCs w:val="28"/>
          <w:lang w:eastAsia="ru-RU"/>
        </w:rPr>
        <w:t>рублей на реализацию мероприятия: «Разработка и реализация проектов по экологической реабилитации торфяников, включая разработку научных обоснований и проектно-сметной документации».</w:t>
      </w:r>
    </w:p>
    <w:p w:rsidR="000D650B" w:rsidRPr="00BA68F0" w:rsidRDefault="000D650B" w:rsidP="000D650B">
      <w:pPr>
        <w:shd w:val="clear" w:color="auto" w:fill="FFFFFF"/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Кличевском</w:t>
      </w:r>
      <w:proofErr w:type="spellEnd"/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2022 году в соответствии с Государственной программой «Охрана окружающей среды и устойчивое использование природных ресурсов» на 2021-2025 годы из средств областного бюджета в консолидированный бюджет района предусмотрено выделение финансовых средств в размере 10,0 тыс.</w:t>
      </w:r>
      <w:r w:rsidR="00C06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рублей на реализацию мероприятия «Разработка и реализация проектов по восстановлению открытых луговых и болотных естественных экологических систем путем рубки, удаления деревьев и кустарников, кошения болотной растительности, включая приобретение техники, разработку научных обоснований и проектно-сметной документации».</w:t>
      </w:r>
    </w:p>
    <w:p w:rsidR="000D650B" w:rsidRPr="00BA68F0" w:rsidRDefault="000D650B" w:rsidP="000D650B">
      <w:pPr>
        <w:shd w:val="clear" w:color="auto" w:fill="FFFFFF"/>
        <w:suppressAutoHyphens/>
        <w:kinsoku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F0">
        <w:rPr>
          <w:rFonts w:ascii="Times New Roman" w:eastAsia="Times New Roman" w:hAnsi="Times New Roman"/>
          <w:sz w:val="28"/>
          <w:szCs w:val="28"/>
          <w:lang w:eastAsia="ru-RU"/>
        </w:rPr>
        <w:t>В региональные планы мероприятий сельскохозяйственных и лесохозяйственных предприятий на 2022 года так же включены мероприятия направленные на предотвращение деградации земель. Работа в данном направлении будет продолжена.</w:t>
      </w:r>
    </w:p>
    <w:p w:rsidR="007E3743" w:rsidRPr="00BA68F0" w:rsidRDefault="007E3743" w:rsidP="000D650B">
      <w:pPr>
        <w:pStyle w:val="ConsPlusCell"/>
        <w:ind w:firstLine="709"/>
        <w:jc w:val="both"/>
        <w:rPr>
          <w:sz w:val="28"/>
          <w:szCs w:val="28"/>
        </w:rPr>
      </w:pPr>
      <w:r w:rsidRPr="00BA68F0">
        <w:rPr>
          <w:sz w:val="28"/>
          <w:szCs w:val="28"/>
        </w:rPr>
        <w:t>РЕШИЛИ:</w:t>
      </w:r>
    </w:p>
    <w:p w:rsidR="007E3743" w:rsidRPr="00BA68F0" w:rsidRDefault="007E3743" w:rsidP="000D650B">
      <w:pPr>
        <w:pStyle w:val="ConsPlusCel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BA68F0">
        <w:rPr>
          <w:sz w:val="28"/>
          <w:szCs w:val="28"/>
        </w:rPr>
        <w:t xml:space="preserve">Принять информацию </w:t>
      </w:r>
      <w:proofErr w:type="spellStart"/>
      <w:r w:rsidR="00C94560" w:rsidRPr="00BA68F0">
        <w:rPr>
          <w:sz w:val="28"/>
          <w:szCs w:val="28"/>
        </w:rPr>
        <w:t>Овчинникова</w:t>
      </w:r>
      <w:proofErr w:type="spellEnd"/>
      <w:r w:rsidR="00C94560" w:rsidRPr="00BA68F0">
        <w:rPr>
          <w:sz w:val="28"/>
          <w:szCs w:val="28"/>
        </w:rPr>
        <w:t xml:space="preserve"> А.Г</w:t>
      </w:r>
      <w:r w:rsidRPr="00BA68F0">
        <w:rPr>
          <w:sz w:val="28"/>
          <w:szCs w:val="28"/>
        </w:rPr>
        <w:t>. к сведению</w:t>
      </w:r>
      <w:r w:rsidR="007C378E" w:rsidRPr="00BA68F0">
        <w:rPr>
          <w:sz w:val="28"/>
          <w:szCs w:val="28"/>
        </w:rPr>
        <w:t>.</w:t>
      </w:r>
    </w:p>
    <w:p w:rsidR="000D650B" w:rsidRPr="00BA68F0" w:rsidRDefault="000D650B" w:rsidP="00C94560">
      <w:pPr>
        <w:pStyle w:val="ConsPlusCell"/>
        <w:jc w:val="both"/>
        <w:rPr>
          <w:sz w:val="28"/>
          <w:szCs w:val="28"/>
        </w:rPr>
      </w:pPr>
    </w:p>
    <w:p w:rsidR="000D650B" w:rsidRPr="00BA68F0" w:rsidRDefault="000D650B" w:rsidP="00C6502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A68F0">
        <w:rPr>
          <w:rFonts w:ascii="Times New Roman" w:hAnsi="Times New Roman"/>
          <w:sz w:val="28"/>
          <w:szCs w:val="28"/>
          <w:u w:val="single"/>
        </w:rPr>
        <w:t>По третьему вопросу:</w:t>
      </w:r>
    </w:p>
    <w:p w:rsidR="00C6502A" w:rsidRPr="00BA68F0" w:rsidRDefault="000D650B" w:rsidP="009A33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СЛУШАЛИ:</w:t>
      </w:r>
      <w:r w:rsidR="00C94560" w:rsidRPr="00BA6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560" w:rsidRPr="00BA68F0">
        <w:rPr>
          <w:rFonts w:ascii="Times New Roman" w:hAnsi="Times New Roman"/>
          <w:sz w:val="28"/>
          <w:szCs w:val="28"/>
        </w:rPr>
        <w:t>Турышева</w:t>
      </w:r>
      <w:proofErr w:type="spellEnd"/>
      <w:r w:rsidR="00C94560" w:rsidRPr="00BA68F0">
        <w:rPr>
          <w:rFonts w:ascii="Times New Roman" w:hAnsi="Times New Roman"/>
          <w:sz w:val="28"/>
          <w:szCs w:val="28"/>
        </w:rPr>
        <w:t xml:space="preserve"> В.В., который в своем выступлении отметил, что </w:t>
      </w:r>
      <w:proofErr w:type="spellStart"/>
      <w:r w:rsidR="00C6502A" w:rsidRPr="00BA68F0">
        <w:rPr>
          <w:rFonts w:ascii="Times New Roman" w:hAnsi="Times New Roman"/>
          <w:sz w:val="28"/>
          <w:szCs w:val="28"/>
        </w:rPr>
        <w:t>облкомитетом</w:t>
      </w:r>
      <w:proofErr w:type="spellEnd"/>
      <w:r w:rsidR="00C6502A" w:rsidRPr="00BA68F0">
        <w:rPr>
          <w:rFonts w:ascii="Times New Roman" w:hAnsi="Times New Roman"/>
          <w:sz w:val="28"/>
          <w:szCs w:val="28"/>
        </w:rPr>
        <w:t>, а также районными, городской, городской и районной инспекциями природных ресурсов и охраны окружающей среды с целью обеспечения контроля за соблюдением на территории области требований природоохранного</w:t>
      </w:r>
      <w:r w:rsidR="00C06A49">
        <w:rPr>
          <w:rFonts w:ascii="Times New Roman" w:hAnsi="Times New Roman"/>
          <w:sz w:val="28"/>
          <w:szCs w:val="28"/>
        </w:rPr>
        <w:t xml:space="preserve"> </w:t>
      </w:r>
      <w:r w:rsidR="00C6502A" w:rsidRPr="00BA68F0">
        <w:rPr>
          <w:rFonts w:ascii="Times New Roman" w:hAnsi="Times New Roman"/>
          <w:sz w:val="28"/>
          <w:szCs w:val="28"/>
        </w:rPr>
        <w:t>законодательства</w:t>
      </w:r>
      <w:r w:rsidR="00C06A49">
        <w:rPr>
          <w:rFonts w:ascii="Times New Roman" w:hAnsi="Times New Roman"/>
          <w:sz w:val="28"/>
          <w:szCs w:val="28"/>
        </w:rPr>
        <w:t xml:space="preserve"> </w:t>
      </w:r>
      <w:r w:rsidR="00C6502A" w:rsidRPr="00BA68F0">
        <w:rPr>
          <w:rFonts w:ascii="Times New Roman" w:hAnsi="Times New Roman"/>
          <w:sz w:val="28"/>
          <w:szCs w:val="28"/>
        </w:rPr>
        <w:t>в рамках предоставленных полномочий прово</w:t>
      </w:r>
      <w:r w:rsidR="00C06A49">
        <w:rPr>
          <w:rFonts w:ascii="Times New Roman" w:hAnsi="Times New Roman"/>
          <w:sz w:val="28"/>
          <w:szCs w:val="28"/>
        </w:rPr>
        <w:t>дятся</w:t>
      </w:r>
      <w:r w:rsidR="00C6502A" w:rsidRPr="00BA68F0">
        <w:rPr>
          <w:rFonts w:ascii="Times New Roman" w:hAnsi="Times New Roman"/>
          <w:sz w:val="28"/>
          <w:szCs w:val="28"/>
        </w:rPr>
        <w:t xml:space="preserve"> контрольно-аналитические мероприятия в форме выборочных проверок, мониторингов, мероприятий технического (технологического, поверочного) характера. </w:t>
      </w:r>
    </w:p>
    <w:p w:rsidR="009A33F8" w:rsidRPr="00BA68F0" w:rsidRDefault="009A33F8" w:rsidP="009A33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 xml:space="preserve">Выступающий отметил, что большое внимание в деятельности </w:t>
      </w:r>
      <w:proofErr w:type="spellStart"/>
      <w:r w:rsidRPr="00BA68F0">
        <w:rPr>
          <w:rFonts w:ascii="Times New Roman" w:hAnsi="Times New Roman"/>
          <w:sz w:val="28"/>
          <w:szCs w:val="28"/>
        </w:rPr>
        <w:t>облкомитета</w:t>
      </w:r>
      <w:proofErr w:type="spellEnd"/>
      <w:r w:rsidRPr="00BA68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A68F0">
        <w:rPr>
          <w:rFonts w:ascii="Times New Roman" w:hAnsi="Times New Roman"/>
          <w:sz w:val="28"/>
          <w:szCs w:val="28"/>
        </w:rPr>
        <w:t>горрайинспекций</w:t>
      </w:r>
      <w:proofErr w:type="spellEnd"/>
      <w:r w:rsidRPr="00BA68F0">
        <w:rPr>
          <w:rFonts w:ascii="Times New Roman" w:hAnsi="Times New Roman"/>
          <w:sz w:val="28"/>
          <w:szCs w:val="28"/>
        </w:rPr>
        <w:t xml:space="preserve"> уделяется профилактике правонарушений.</w:t>
      </w:r>
    </w:p>
    <w:p w:rsidR="00A1434F" w:rsidRPr="00BA68F0" w:rsidRDefault="00A1434F" w:rsidP="006825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68F0">
        <w:rPr>
          <w:rFonts w:ascii="Times New Roman" w:hAnsi="Times New Roman"/>
          <w:sz w:val="28"/>
          <w:szCs w:val="28"/>
        </w:rPr>
        <w:lastRenderedPageBreak/>
        <w:t>Турышев</w:t>
      </w:r>
      <w:proofErr w:type="spellEnd"/>
      <w:r w:rsidRPr="00BA68F0">
        <w:rPr>
          <w:rFonts w:ascii="Times New Roman" w:hAnsi="Times New Roman"/>
          <w:sz w:val="28"/>
          <w:szCs w:val="28"/>
        </w:rPr>
        <w:t xml:space="preserve"> В.В. проинформировал, что наибольшее количество выявляемых нарушений – это нарушения в области обращения с отходами 53,7%.</w:t>
      </w:r>
      <w:r w:rsidR="00C20F95" w:rsidRPr="00BA68F0">
        <w:rPr>
          <w:rFonts w:ascii="Times New Roman" w:hAnsi="Times New Roman"/>
          <w:sz w:val="28"/>
          <w:szCs w:val="28"/>
        </w:rPr>
        <w:t xml:space="preserve"> </w:t>
      </w:r>
      <w:r w:rsidRPr="00BA68F0">
        <w:rPr>
          <w:rFonts w:ascii="Times New Roman" w:hAnsi="Times New Roman"/>
          <w:sz w:val="28"/>
          <w:szCs w:val="28"/>
        </w:rPr>
        <w:t>Наибольшее количе</w:t>
      </w:r>
      <w:r w:rsidR="000F1D54" w:rsidRPr="00BA68F0">
        <w:rPr>
          <w:rFonts w:ascii="Times New Roman" w:hAnsi="Times New Roman"/>
          <w:sz w:val="28"/>
          <w:szCs w:val="28"/>
        </w:rPr>
        <w:t xml:space="preserve">ство фактов </w:t>
      </w:r>
      <w:proofErr w:type="gramStart"/>
      <w:r w:rsidR="000F1D54" w:rsidRPr="00BA68F0">
        <w:rPr>
          <w:rFonts w:ascii="Times New Roman" w:hAnsi="Times New Roman"/>
          <w:sz w:val="28"/>
          <w:szCs w:val="28"/>
        </w:rPr>
        <w:t>вреда</w:t>
      </w:r>
      <w:r w:rsidR="00C06A49">
        <w:rPr>
          <w:rFonts w:ascii="Times New Roman" w:hAnsi="Times New Roman"/>
          <w:sz w:val="28"/>
          <w:szCs w:val="28"/>
        </w:rPr>
        <w:t>,</w:t>
      </w:r>
      <w:r w:rsidRPr="00BA68F0">
        <w:rPr>
          <w:rFonts w:ascii="Times New Roman" w:hAnsi="Times New Roman"/>
          <w:sz w:val="28"/>
          <w:szCs w:val="28"/>
        </w:rPr>
        <w:t xml:space="preserve">  причиненного</w:t>
      </w:r>
      <w:proofErr w:type="gramEnd"/>
      <w:r w:rsidRPr="00BA68F0">
        <w:rPr>
          <w:rFonts w:ascii="Times New Roman" w:hAnsi="Times New Roman"/>
          <w:sz w:val="28"/>
          <w:szCs w:val="28"/>
        </w:rPr>
        <w:t xml:space="preserve"> окружающей среде</w:t>
      </w:r>
      <w:r w:rsidR="00C00C9D" w:rsidRPr="00BA68F0">
        <w:rPr>
          <w:rFonts w:ascii="Times New Roman" w:hAnsi="Times New Roman"/>
          <w:sz w:val="28"/>
          <w:szCs w:val="28"/>
        </w:rPr>
        <w:t xml:space="preserve"> устанавливается</w:t>
      </w:r>
      <w:r w:rsidRPr="00BA68F0">
        <w:rPr>
          <w:rFonts w:ascii="Times New Roman" w:hAnsi="Times New Roman"/>
          <w:sz w:val="28"/>
          <w:szCs w:val="28"/>
        </w:rPr>
        <w:t xml:space="preserve"> в области </w:t>
      </w:r>
      <w:r w:rsidR="000F1D54" w:rsidRPr="00BA68F0">
        <w:rPr>
          <w:rFonts w:ascii="Times New Roman" w:hAnsi="Times New Roman"/>
          <w:sz w:val="28"/>
          <w:szCs w:val="28"/>
        </w:rPr>
        <w:t>обращения с отходами (57,6%), незаконного удаления объектов растительного мира</w:t>
      </w:r>
      <w:r w:rsidR="00682582" w:rsidRPr="00BA68F0">
        <w:rPr>
          <w:rFonts w:ascii="Times New Roman" w:hAnsi="Times New Roman"/>
          <w:sz w:val="28"/>
          <w:szCs w:val="28"/>
        </w:rPr>
        <w:t xml:space="preserve"> (24%).</w:t>
      </w:r>
    </w:p>
    <w:p w:rsidR="00682582" w:rsidRPr="00BA68F0" w:rsidRDefault="00682582" w:rsidP="006825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68F0">
        <w:rPr>
          <w:rFonts w:ascii="Times New Roman" w:hAnsi="Times New Roman"/>
          <w:sz w:val="28"/>
          <w:szCs w:val="28"/>
        </w:rPr>
        <w:t>Облкомитетом</w:t>
      </w:r>
      <w:proofErr w:type="spellEnd"/>
      <w:r w:rsidRPr="00BA68F0">
        <w:rPr>
          <w:rFonts w:ascii="Times New Roman" w:hAnsi="Times New Roman"/>
          <w:sz w:val="28"/>
          <w:szCs w:val="28"/>
        </w:rPr>
        <w:t xml:space="preserve"> проводится работа </w:t>
      </w:r>
      <w:bookmarkStart w:id="0" w:name="_GoBack"/>
      <w:bookmarkEnd w:id="0"/>
      <w:r w:rsidRPr="00BA68F0">
        <w:rPr>
          <w:rFonts w:ascii="Times New Roman" w:hAnsi="Times New Roman"/>
          <w:sz w:val="28"/>
          <w:szCs w:val="28"/>
        </w:rPr>
        <w:t xml:space="preserve">по обнаружению правонарушений, выявлению лиц, их совершивших, привлечению их к предусмотренной законодательством ответственности. </w:t>
      </w:r>
    </w:p>
    <w:p w:rsidR="007C378E" w:rsidRPr="00BA68F0" w:rsidRDefault="007C378E" w:rsidP="007C378E">
      <w:pPr>
        <w:pStyle w:val="ConsPlusCell"/>
        <w:ind w:firstLine="709"/>
        <w:jc w:val="both"/>
        <w:rPr>
          <w:sz w:val="28"/>
          <w:szCs w:val="28"/>
        </w:rPr>
      </w:pPr>
      <w:r w:rsidRPr="00BA68F0">
        <w:rPr>
          <w:sz w:val="28"/>
          <w:szCs w:val="28"/>
        </w:rPr>
        <w:t>РЕШИЛИ:</w:t>
      </w:r>
    </w:p>
    <w:p w:rsidR="007C378E" w:rsidRPr="00BA68F0" w:rsidRDefault="007C378E" w:rsidP="007C378E">
      <w:pPr>
        <w:pStyle w:val="ConsPlusCell"/>
        <w:numPr>
          <w:ilvl w:val="0"/>
          <w:numId w:val="32"/>
        </w:numPr>
        <w:jc w:val="both"/>
        <w:rPr>
          <w:sz w:val="28"/>
          <w:szCs w:val="28"/>
        </w:rPr>
      </w:pPr>
      <w:r w:rsidRPr="00BA68F0">
        <w:rPr>
          <w:sz w:val="28"/>
          <w:szCs w:val="28"/>
        </w:rPr>
        <w:t xml:space="preserve">Принять информацию </w:t>
      </w:r>
      <w:proofErr w:type="spellStart"/>
      <w:r w:rsidRPr="00BA68F0">
        <w:rPr>
          <w:sz w:val="28"/>
          <w:szCs w:val="28"/>
        </w:rPr>
        <w:t>Турышева</w:t>
      </w:r>
      <w:proofErr w:type="spellEnd"/>
      <w:r w:rsidRPr="00BA68F0">
        <w:rPr>
          <w:sz w:val="28"/>
          <w:szCs w:val="28"/>
        </w:rPr>
        <w:t xml:space="preserve"> В.В. к сведению</w:t>
      </w:r>
      <w:r w:rsidR="00E950EC" w:rsidRPr="00BA68F0">
        <w:rPr>
          <w:sz w:val="28"/>
          <w:szCs w:val="28"/>
        </w:rPr>
        <w:t>.</w:t>
      </w:r>
    </w:p>
    <w:p w:rsidR="00A81269" w:rsidRPr="00BA68F0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901" w:rsidRPr="00BA68F0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Присутствующие согласились с указанным выше предложени</w:t>
      </w:r>
      <w:r w:rsidR="000E7C9D" w:rsidRPr="00BA68F0">
        <w:rPr>
          <w:rFonts w:ascii="Times New Roman" w:hAnsi="Times New Roman"/>
          <w:sz w:val="28"/>
          <w:szCs w:val="28"/>
        </w:rPr>
        <w:t>я</w:t>
      </w:r>
      <w:r w:rsidRPr="00BA68F0">
        <w:rPr>
          <w:rFonts w:ascii="Times New Roman" w:hAnsi="Times New Roman"/>
          <w:sz w:val="28"/>
          <w:szCs w:val="28"/>
        </w:rPr>
        <w:t>м</w:t>
      </w:r>
      <w:r w:rsidR="000E7C9D" w:rsidRPr="00BA68F0">
        <w:rPr>
          <w:rFonts w:ascii="Times New Roman" w:hAnsi="Times New Roman"/>
          <w:sz w:val="28"/>
          <w:szCs w:val="28"/>
        </w:rPr>
        <w:t>и</w:t>
      </w:r>
      <w:r w:rsidRPr="00BA68F0">
        <w:rPr>
          <w:rFonts w:ascii="Times New Roman" w:hAnsi="Times New Roman"/>
          <w:sz w:val="28"/>
          <w:szCs w:val="28"/>
        </w:rPr>
        <w:t>.</w:t>
      </w:r>
    </w:p>
    <w:p w:rsidR="00E872BA" w:rsidRPr="00BA68F0" w:rsidRDefault="008C4980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Тепляков К.И</w:t>
      </w:r>
      <w:r w:rsidR="00A161CC" w:rsidRPr="00BA68F0">
        <w:rPr>
          <w:rFonts w:ascii="Times New Roman" w:hAnsi="Times New Roman"/>
          <w:sz w:val="28"/>
          <w:szCs w:val="28"/>
        </w:rPr>
        <w:t>.</w:t>
      </w:r>
      <w:r w:rsidR="00E872BA" w:rsidRPr="00BA68F0">
        <w:rPr>
          <w:rFonts w:ascii="Times New Roman" w:hAnsi="Times New Roman"/>
          <w:sz w:val="28"/>
          <w:szCs w:val="28"/>
        </w:rPr>
        <w:t xml:space="preserve"> поблагодарил членов ОКЭС</w:t>
      </w:r>
      <w:r w:rsidR="00A53474" w:rsidRPr="00BA68F0">
        <w:rPr>
          <w:rFonts w:ascii="Times New Roman" w:hAnsi="Times New Roman"/>
          <w:sz w:val="28"/>
          <w:szCs w:val="28"/>
        </w:rPr>
        <w:t>.</w:t>
      </w:r>
      <w:r w:rsidR="00E872BA" w:rsidRPr="00BA68F0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F707DF" w:rsidRPr="00BA68F0" w:rsidTr="00C82442">
        <w:tc>
          <w:tcPr>
            <w:tcW w:w="5070" w:type="dxa"/>
          </w:tcPr>
          <w:p w:rsidR="00694901" w:rsidRPr="00BA68F0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698" w:rsidRPr="00BA68F0" w:rsidRDefault="006F2FA7" w:rsidP="00680D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8F0">
              <w:rPr>
                <w:rFonts w:ascii="Times New Roman" w:hAnsi="Times New Roman"/>
                <w:sz w:val="28"/>
                <w:szCs w:val="28"/>
              </w:rPr>
              <w:t>П</w:t>
            </w:r>
            <w:r w:rsidR="00C82442" w:rsidRPr="00BA68F0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BA68F0">
              <w:rPr>
                <w:rFonts w:ascii="Times New Roman" w:hAnsi="Times New Roman"/>
                <w:sz w:val="28"/>
                <w:szCs w:val="28"/>
              </w:rPr>
              <w:t>ь</w:t>
            </w:r>
            <w:r w:rsidR="00A57032" w:rsidRPr="00BA68F0">
              <w:rPr>
                <w:rFonts w:ascii="Times New Roman" w:hAnsi="Times New Roman"/>
                <w:sz w:val="28"/>
                <w:szCs w:val="28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BA68F0">
              <w:rPr>
                <w:rFonts w:ascii="Times New Roman" w:hAnsi="Times New Roman"/>
                <w:sz w:val="28"/>
                <w:szCs w:val="28"/>
              </w:rPr>
              <w:t>,</w:t>
            </w:r>
            <w:r w:rsidR="00C82442" w:rsidRPr="00BA6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EEC" w:rsidRPr="00BA68F0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680D72" w:rsidRPr="00BA68F0">
              <w:rPr>
                <w:rFonts w:ascii="Times New Roman" w:hAnsi="Times New Roman"/>
                <w:sz w:val="28"/>
                <w:szCs w:val="28"/>
              </w:rPr>
              <w:t>ь</w:t>
            </w:r>
            <w:r w:rsidR="00700698" w:rsidRPr="00BA68F0">
              <w:rPr>
                <w:rFonts w:ascii="Times New Roman" w:hAnsi="Times New Roman"/>
                <w:sz w:val="28"/>
                <w:szCs w:val="28"/>
              </w:rPr>
              <w:t xml:space="preserve"> ОКЭС</w:t>
            </w:r>
          </w:p>
        </w:tc>
        <w:tc>
          <w:tcPr>
            <w:tcW w:w="4398" w:type="dxa"/>
          </w:tcPr>
          <w:p w:rsidR="00A57032" w:rsidRPr="00BA68F0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32" w:rsidRPr="00BA68F0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32" w:rsidRPr="00BA68F0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698" w:rsidRPr="00BA68F0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8F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DC6003" w:rsidRPr="00BA68F0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6003" w:rsidRPr="00BA68F0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8F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4550A" w:rsidRPr="00BA6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8F0">
              <w:rPr>
                <w:rFonts w:ascii="Times New Roman" w:hAnsi="Times New Roman"/>
                <w:sz w:val="28"/>
                <w:szCs w:val="28"/>
              </w:rPr>
              <w:t>К.И.Тепляков</w:t>
            </w:r>
            <w:proofErr w:type="spellEnd"/>
          </w:p>
          <w:p w:rsidR="00C20F95" w:rsidRPr="00BA68F0" w:rsidRDefault="00C20F95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2CF" w:rsidRPr="00BA68F0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642" w:rsidRDefault="00952642" w:rsidP="00B03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8F0">
        <w:rPr>
          <w:rFonts w:ascii="Times New Roman" w:hAnsi="Times New Roman"/>
          <w:sz w:val="28"/>
          <w:szCs w:val="28"/>
        </w:rPr>
        <w:t>Протокол вел</w:t>
      </w:r>
      <w:r w:rsidR="00A57032" w:rsidRPr="00BA68F0">
        <w:rPr>
          <w:rFonts w:ascii="Times New Roman" w:hAnsi="Times New Roman"/>
          <w:sz w:val="28"/>
          <w:szCs w:val="28"/>
        </w:rPr>
        <w:t>а</w:t>
      </w:r>
      <w:r w:rsidR="00AE76D0" w:rsidRPr="00BA68F0">
        <w:rPr>
          <w:rFonts w:ascii="Times New Roman" w:hAnsi="Times New Roman"/>
          <w:sz w:val="28"/>
          <w:szCs w:val="28"/>
        </w:rPr>
        <w:t xml:space="preserve"> </w:t>
      </w:r>
      <w:r w:rsidR="006D5664" w:rsidRPr="00BA68F0">
        <w:rPr>
          <w:rFonts w:ascii="Times New Roman" w:hAnsi="Times New Roman"/>
          <w:sz w:val="28"/>
          <w:szCs w:val="28"/>
        </w:rPr>
        <w:tab/>
      </w:r>
      <w:r w:rsidR="006D5664" w:rsidRPr="00BA68F0">
        <w:rPr>
          <w:rFonts w:ascii="Times New Roman" w:hAnsi="Times New Roman"/>
          <w:sz w:val="28"/>
          <w:szCs w:val="28"/>
        </w:rPr>
        <w:tab/>
      </w:r>
      <w:r w:rsidR="006D5664" w:rsidRPr="00BA68F0">
        <w:rPr>
          <w:rFonts w:ascii="Times New Roman" w:hAnsi="Times New Roman"/>
          <w:sz w:val="28"/>
          <w:szCs w:val="28"/>
        </w:rPr>
        <w:tab/>
      </w:r>
      <w:r w:rsidR="006D5664" w:rsidRPr="00BA68F0">
        <w:rPr>
          <w:rFonts w:ascii="Times New Roman" w:hAnsi="Times New Roman"/>
          <w:sz w:val="28"/>
          <w:szCs w:val="28"/>
        </w:rPr>
        <w:tab/>
      </w:r>
      <w:r w:rsidR="006D5664" w:rsidRPr="00BA68F0">
        <w:rPr>
          <w:rFonts w:ascii="Times New Roman" w:hAnsi="Times New Roman"/>
          <w:sz w:val="28"/>
          <w:szCs w:val="28"/>
        </w:rPr>
        <w:tab/>
      </w:r>
      <w:r w:rsidR="006D5664" w:rsidRPr="00BA68F0">
        <w:rPr>
          <w:rFonts w:ascii="Times New Roman" w:hAnsi="Times New Roman"/>
          <w:sz w:val="28"/>
          <w:szCs w:val="28"/>
        </w:rPr>
        <w:tab/>
      </w:r>
      <w:r w:rsidR="0046562C" w:rsidRPr="00BA68F0">
        <w:rPr>
          <w:rFonts w:ascii="Times New Roman" w:hAnsi="Times New Roman"/>
          <w:sz w:val="28"/>
          <w:szCs w:val="28"/>
        </w:rPr>
        <w:tab/>
      </w:r>
      <w:r w:rsidR="00AE76D0" w:rsidRPr="00BA68F0">
        <w:rPr>
          <w:rFonts w:ascii="Times New Roman" w:hAnsi="Times New Roman"/>
          <w:sz w:val="28"/>
          <w:szCs w:val="28"/>
        </w:rPr>
        <w:t xml:space="preserve">    </w:t>
      </w:r>
      <w:r w:rsidR="0094550A" w:rsidRPr="00BA68F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57032" w:rsidRPr="00BA68F0">
        <w:rPr>
          <w:rFonts w:ascii="Times New Roman" w:hAnsi="Times New Roman"/>
          <w:sz w:val="28"/>
          <w:szCs w:val="28"/>
        </w:rPr>
        <w:t>Е.А.Радченко</w:t>
      </w:r>
      <w:proofErr w:type="spellEnd"/>
    </w:p>
    <w:p w:rsidR="00BA68F0" w:rsidRPr="00BA68F0" w:rsidRDefault="00BA68F0" w:rsidP="00B03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68F0" w:rsidRPr="00BA68F0" w:rsidSect="00C00C9D">
      <w:headerReference w:type="even" r:id="rId8"/>
      <w:headerReference w:type="default" r:id="rId9"/>
      <w:pgSz w:w="11906" w:h="16838"/>
      <w:pgMar w:top="144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9D" w:rsidRDefault="006B2F9D" w:rsidP="002941DD">
      <w:pPr>
        <w:spacing w:after="0" w:line="240" w:lineRule="auto"/>
      </w:pPr>
      <w:r>
        <w:separator/>
      </w:r>
    </w:p>
  </w:endnote>
  <w:endnote w:type="continuationSeparator" w:id="0">
    <w:p w:rsidR="006B2F9D" w:rsidRDefault="006B2F9D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9D" w:rsidRDefault="006B2F9D" w:rsidP="002941DD">
      <w:pPr>
        <w:spacing w:after="0" w:line="240" w:lineRule="auto"/>
      </w:pPr>
      <w:r>
        <w:separator/>
      </w:r>
    </w:p>
  </w:footnote>
  <w:footnote w:type="continuationSeparator" w:id="0">
    <w:p w:rsidR="006B2F9D" w:rsidRDefault="006B2F9D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6A49">
      <w:rPr>
        <w:rStyle w:val="a8"/>
        <w:noProof/>
      </w:rPr>
      <w:t>5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82C85"/>
    <w:multiLevelType w:val="hybridMultilevel"/>
    <w:tmpl w:val="34ECD296"/>
    <w:lvl w:ilvl="0" w:tplc="13B67D7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1F1AA6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7D54DD"/>
    <w:multiLevelType w:val="hybridMultilevel"/>
    <w:tmpl w:val="71E28C84"/>
    <w:lvl w:ilvl="0" w:tplc="33D044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B2F3A"/>
    <w:multiLevelType w:val="hybridMultilevel"/>
    <w:tmpl w:val="6A02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28"/>
  </w:num>
  <w:num w:numId="5">
    <w:abstractNumId w:val="14"/>
  </w:num>
  <w:num w:numId="6">
    <w:abstractNumId w:val="23"/>
  </w:num>
  <w:num w:numId="7">
    <w:abstractNumId w:val="13"/>
  </w:num>
  <w:num w:numId="8">
    <w:abstractNumId w:val="22"/>
  </w:num>
  <w:num w:numId="9">
    <w:abstractNumId w:val="17"/>
  </w:num>
  <w:num w:numId="10">
    <w:abstractNumId w:val="4"/>
  </w:num>
  <w:num w:numId="11">
    <w:abstractNumId w:val="6"/>
  </w:num>
  <w:num w:numId="12">
    <w:abstractNumId w:val="26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4"/>
  </w:num>
  <w:num w:numId="18">
    <w:abstractNumId w:val="11"/>
  </w:num>
  <w:num w:numId="19">
    <w:abstractNumId w:val="9"/>
  </w:num>
  <w:num w:numId="20">
    <w:abstractNumId w:val="18"/>
  </w:num>
  <w:num w:numId="21">
    <w:abstractNumId w:val="5"/>
  </w:num>
  <w:num w:numId="22">
    <w:abstractNumId w:val="7"/>
  </w:num>
  <w:num w:numId="23">
    <w:abstractNumId w:val="16"/>
  </w:num>
  <w:num w:numId="24">
    <w:abstractNumId w:val="21"/>
  </w:num>
  <w:num w:numId="25">
    <w:abstractNumId w:val="20"/>
  </w:num>
  <w:num w:numId="26">
    <w:abstractNumId w:val="27"/>
  </w:num>
  <w:num w:numId="27">
    <w:abstractNumId w:val="31"/>
  </w:num>
  <w:num w:numId="28">
    <w:abstractNumId w:val="12"/>
  </w:num>
  <w:num w:numId="29">
    <w:abstractNumId w:val="15"/>
  </w:num>
  <w:num w:numId="30">
    <w:abstractNumId w:val="3"/>
  </w:num>
  <w:num w:numId="31">
    <w:abstractNumId w:val="2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35"/>
    <w:rsid w:val="00000267"/>
    <w:rsid w:val="000032C0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1644A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50B"/>
    <w:rsid w:val="000D661F"/>
    <w:rsid w:val="000D7F5A"/>
    <w:rsid w:val="000E0EEE"/>
    <w:rsid w:val="000E4E3D"/>
    <w:rsid w:val="000E7C9D"/>
    <w:rsid w:val="000F1670"/>
    <w:rsid w:val="000F1D54"/>
    <w:rsid w:val="000F43BB"/>
    <w:rsid w:val="000F5034"/>
    <w:rsid w:val="000F55C0"/>
    <w:rsid w:val="0010567D"/>
    <w:rsid w:val="00110A22"/>
    <w:rsid w:val="00113E69"/>
    <w:rsid w:val="00114EA9"/>
    <w:rsid w:val="00115A42"/>
    <w:rsid w:val="00115CA5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4F10"/>
    <w:rsid w:val="001E54D2"/>
    <w:rsid w:val="001E5735"/>
    <w:rsid w:val="001E5E56"/>
    <w:rsid w:val="001E6032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1FE9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55C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465E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50459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3A0C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436C"/>
    <w:rsid w:val="003C51EE"/>
    <w:rsid w:val="003D044B"/>
    <w:rsid w:val="003D05BF"/>
    <w:rsid w:val="003D140B"/>
    <w:rsid w:val="003D1838"/>
    <w:rsid w:val="003D1944"/>
    <w:rsid w:val="003D47E8"/>
    <w:rsid w:val="003D57DE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02D1"/>
    <w:rsid w:val="00430947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67926"/>
    <w:rsid w:val="00476DE5"/>
    <w:rsid w:val="0048131B"/>
    <w:rsid w:val="00482242"/>
    <w:rsid w:val="00485177"/>
    <w:rsid w:val="00486B37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1A17"/>
    <w:rsid w:val="004D3F5E"/>
    <w:rsid w:val="004D3F65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A53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58B0"/>
    <w:rsid w:val="005C66A8"/>
    <w:rsid w:val="005D1C26"/>
    <w:rsid w:val="005D53DA"/>
    <w:rsid w:val="005E3960"/>
    <w:rsid w:val="005E4CCB"/>
    <w:rsid w:val="005E5A3B"/>
    <w:rsid w:val="005E717A"/>
    <w:rsid w:val="005F079B"/>
    <w:rsid w:val="005F1620"/>
    <w:rsid w:val="00604A88"/>
    <w:rsid w:val="00613245"/>
    <w:rsid w:val="00617659"/>
    <w:rsid w:val="00617B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0D72"/>
    <w:rsid w:val="00682582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2F9D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2FA7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0AA2"/>
    <w:rsid w:val="007328D8"/>
    <w:rsid w:val="007343F9"/>
    <w:rsid w:val="00734566"/>
    <w:rsid w:val="00736043"/>
    <w:rsid w:val="00737E04"/>
    <w:rsid w:val="00742B2E"/>
    <w:rsid w:val="00743B88"/>
    <w:rsid w:val="007503BA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1C7B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378E"/>
    <w:rsid w:val="007C596D"/>
    <w:rsid w:val="007D1311"/>
    <w:rsid w:val="007D71B4"/>
    <w:rsid w:val="007E3743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1CD6"/>
    <w:rsid w:val="00862104"/>
    <w:rsid w:val="00865ECA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1157"/>
    <w:rsid w:val="008B2224"/>
    <w:rsid w:val="008B3AE5"/>
    <w:rsid w:val="008B5096"/>
    <w:rsid w:val="008C10A0"/>
    <w:rsid w:val="008C2344"/>
    <w:rsid w:val="008C4250"/>
    <w:rsid w:val="008C4980"/>
    <w:rsid w:val="008C5014"/>
    <w:rsid w:val="008C5525"/>
    <w:rsid w:val="008D1956"/>
    <w:rsid w:val="008D6091"/>
    <w:rsid w:val="008E1678"/>
    <w:rsid w:val="008E2A73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06989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0A"/>
    <w:rsid w:val="0094552A"/>
    <w:rsid w:val="00945B41"/>
    <w:rsid w:val="00946A61"/>
    <w:rsid w:val="0095027E"/>
    <w:rsid w:val="00952642"/>
    <w:rsid w:val="00954DFA"/>
    <w:rsid w:val="009617E9"/>
    <w:rsid w:val="00962DF2"/>
    <w:rsid w:val="0096304C"/>
    <w:rsid w:val="00965F29"/>
    <w:rsid w:val="00970ABF"/>
    <w:rsid w:val="00973374"/>
    <w:rsid w:val="00973B13"/>
    <w:rsid w:val="009744F4"/>
    <w:rsid w:val="00976539"/>
    <w:rsid w:val="00977D56"/>
    <w:rsid w:val="0098326E"/>
    <w:rsid w:val="00987F82"/>
    <w:rsid w:val="00991F66"/>
    <w:rsid w:val="00993908"/>
    <w:rsid w:val="009A195F"/>
    <w:rsid w:val="009A1D00"/>
    <w:rsid w:val="009A33F8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434F"/>
    <w:rsid w:val="00A161CC"/>
    <w:rsid w:val="00A34C2F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3CD6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D7902"/>
    <w:rsid w:val="00AE1204"/>
    <w:rsid w:val="00AE3311"/>
    <w:rsid w:val="00AE3BBD"/>
    <w:rsid w:val="00AE458E"/>
    <w:rsid w:val="00AE47F5"/>
    <w:rsid w:val="00AE5DC7"/>
    <w:rsid w:val="00AE725F"/>
    <w:rsid w:val="00AE76D0"/>
    <w:rsid w:val="00AE7A5A"/>
    <w:rsid w:val="00AE7C05"/>
    <w:rsid w:val="00AF101C"/>
    <w:rsid w:val="00AF1F60"/>
    <w:rsid w:val="00AF7D92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8F0"/>
    <w:rsid w:val="00BA6D65"/>
    <w:rsid w:val="00BA6F10"/>
    <w:rsid w:val="00BB3422"/>
    <w:rsid w:val="00BB5302"/>
    <w:rsid w:val="00BB53F3"/>
    <w:rsid w:val="00BB6A96"/>
    <w:rsid w:val="00BC0504"/>
    <w:rsid w:val="00BC0B1C"/>
    <w:rsid w:val="00BC2AB6"/>
    <w:rsid w:val="00BC40A3"/>
    <w:rsid w:val="00BC4AAB"/>
    <w:rsid w:val="00BC56FD"/>
    <w:rsid w:val="00BD0AB4"/>
    <w:rsid w:val="00BD1508"/>
    <w:rsid w:val="00BD1CB8"/>
    <w:rsid w:val="00BD4FBF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0C9D"/>
    <w:rsid w:val="00C06A49"/>
    <w:rsid w:val="00C07D6D"/>
    <w:rsid w:val="00C134FF"/>
    <w:rsid w:val="00C15137"/>
    <w:rsid w:val="00C20F95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502A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40E6"/>
    <w:rsid w:val="00C94560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8D4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6EE"/>
    <w:rsid w:val="00D5177E"/>
    <w:rsid w:val="00D52E6A"/>
    <w:rsid w:val="00D53040"/>
    <w:rsid w:val="00D5624F"/>
    <w:rsid w:val="00D65010"/>
    <w:rsid w:val="00D667B5"/>
    <w:rsid w:val="00D66C8C"/>
    <w:rsid w:val="00D70E17"/>
    <w:rsid w:val="00D83B82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0686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66978"/>
    <w:rsid w:val="00E706CB"/>
    <w:rsid w:val="00E70F4E"/>
    <w:rsid w:val="00E7276C"/>
    <w:rsid w:val="00E8371A"/>
    <w:rsid w:val="00E872BA"/>
    <w:rsid w:val="00E906DE"/>
    <w:rsid w:val="00E913DA"/>
    <w:rsid w:val="00E950EC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07DF"/>
    <w:rsid w:val="00F75E89"/>
    <w:rsid w:val="00F76AFB"/>
    <w:rsid w:val="00F76E35"/>
    <w:rsid w:val="00F85A3C"/>
    <w:rsid w:val="00F85C23"/>
    <w:rsid w:val="00F86BF5"/>
    <w:rsid w:val="00F90890"/>
    <w:rsid w:val="00F951E6"/>
    <w:rsid w:val="00F959C4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4BC6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D66"/>
  <w15:docId w15:val="{EB2C7941-4C01-4EB1-9B02-8A55F168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9CD4-9557-4536-BA2C-6F78C239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Радченко Екатерина Александровна</cp:lastModifiedBy>
  <cp:revision>22</cp:revision>
  <cp:lastPrinted>2022-07-25T13:09:00Z</cp:lastPrinted>
  <dcterms:created xsi:type="dcterms:W3CDTF">2022-07-25T10:58:00Z</dcterms:created>
  <dcterms:modified xsi:type="dcterms:W3CDTF">2022-07-26T06:16:00Z</dcterms:modified>
</cp:coreProperties>
</file>